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40" w:lineRule="exact"/>
        <w:outlineLvl w:val="0"/>
        <w:rPr>
          <w:rFonts w:hint="eastAsia" w:eastAsia="黑体"/>
          <w:bCs/>
          <w:kern w:val="0"/>
          <w:sz w:val="32"/>
          <w:szCs w:val="32"/>
        </w:rPr>
      </w:pPr>
      <w:r>
        <w:rPr>
          <w:rFonts w:hint="eastAsia" w:eastAsia="黑体"/>
          <w:bCs/>
          <w:kern w:val="0"/>
          <w:sz w:val="32"/>
          <w:szCs w:val="32"/>
        </w:rPr>
        <w:t>附件2</w:t>
      </w:r>
    </w:p>
    <w:p>
      <w:pPr>
        <w:widowControl/>
        <w:spacing w:line="560" w:lineRule="exact"/>
        <w:ind w:firstLine="1100" w:firstLineChars="250"/>
        <w:jc w:val="left"/>
        <w:rPr>
          <w:rFonts w:eastAsia="方正小标宋简体"/>
          <w:sz w:val="44"/>
          <w:szCs w:val="44"/>
        </w:rPr>
      </w:pPr>
    </w:p>
    <w:p>
      <w:pPr>
        <w:widowControl/>
        <w:spacing w:line="560" w:lineRule="exact"/>
        <w:jc w:val="center"/>
        <w:rPr>
          <w:rFonts w:hint="eastAsia" w:ascii="小标宋" w:hAnsi="小标宋" w:eastAsia="小标宋" w:cs="小标宋"/>
          <w:sz w:val="44"/>
          <w:szCs w:val="44"/>
        </w:rPr>
      </w:pPr>
      <w:bookmarkStart w:id="0" w:name="_GoBack"/>
      <w:r>
        <w:rPr>
          <w:rFonts w:hint="eastAsia" w:ascii="小标宋" w:hAnsi="小标宋" w:eastAsia="小标宋" w:cs="小标宋"/>
          <w:sz w:val="44"/>
          <w:szCs w:val="44"/>
        </w:rPr>
        <w:t>天津市扶贫协作和对口支援产业帮扶专项扶持资金管理办法的修订说明</w:t>
      </w:r>
      <w:bookmarkEnd w:id="0"/>
    </w:p>
    <w:p>
      <w:pPr>
        <w:widowControl/>
        <w:spacing w:line="560" w:lineRule="exact"/>
        <w:ind w:firstLine="645"/>
        <w:rPr>
          <w:rFonts w:eastAsia="仿宋_GB2312"/>
          <w:sz w:val="32"/>
          <w:szCs w:val="32"/>
        </w:rPr>
      </w:pPr>
    </w:p>
    <w:p>
      <w:pPr>
        <w:widowControl/>
        <w:spacing w:line="560" w:lineRule="exact"/>
        <w:ind w:firstLine="645"/>
        <w:rPr>
          <w:rFonts w:eastAsia="仿宋_GB2312"/>
          <w:sz w:val="32"/>
          <w:szCs w:val="32"/>
        </w:rPr>
      </w:pPr>
      <w:r>
        <w:rPr>
          <w:rFonts w:hint="eastAsia" w:eastAsia="仿宋_GB2312"/>
          <w:sz w:val="32"/>
          <w:szCs w:val="32"/>
        </w:rPr>
        <w:t>为进一步规范</w:t>
      </w:r>
      <w:r>
        <w:rPr>
          <w:rFonts w:eastAsia="仿宋_GB2312"/>
          <w:sz w:val="32"/>
          <w:szCs w:val="32"/>
        </w:rPr>
        <w:t>天津市扶贫协作和对口支援产业帮扶专项扶持资金</w:t>
      </w:r>
      <w:r>
        <w:rPr>
          <w:rFonts w:hint="eastAsia" w:eastAsia="仿宋_GB2312"/>
          <w:sz w:val="32"/>
          <w:szCs w:val="32"/>
        </w:rPr>
        <w:t>管理，充分发挥引导带动作用，在认真研究各成员单位有关意见建议，并开展深入调研的基础上，我委会同市合作交流办</w:t>
      </w:r>
      <w:r>
        <w:rPr>
          <w:rFonts w:eastAsia="仿宋_GB2312"/>
          <w:sz w:val="32"/>
          <w:szCs w:val="32"/>
        </w:rPr>
        <w:t>对《天津市扶贫协作和对口支援产业帮扶专项扶持资金管理办法》</w:t>
      </w:r>
      <w:r>
        <w:rPr>
          <w:rFonts w:hint="eastAsia" w:eastAsia="仿宋_GB2312"/>
          <w:sz w:val="32"/>
          <w:szCs w:val="32"/>
        </w:rPr>
        <w:t>进行了修订。</w:t>
      </w:r>
      <w:r>
        <w:rPr>
          <w:rFonts w:eastAsia="仿宋_GB2312"/>
          <w:sz w:val="32"/>
          <w:szCs w:val="32"/>
        </w:rPr>
        <w:t>现</w:t>
      </w:r>
      <w:r>
        <w:rPr>
          <w:rFonts w:hint="eastAsia" w:eastAsia="仿宋_GB2312"/>
          <w:sz w:val="32"/>
          <w:szCs w:val="32"/>
        </w:rPr>
        <w:t>就具体修订情况作如下说明</w:t>
      </w:r>
      <w:r>
        <w:rPr>
          <w:rFonts w:eastAsia="仿宋_GB2312"/>
          <w:sz w:val="32"/>
          <w:szCs w:val="32"/>
        </w:rPr>
        <w:t>。</w:t>
      </w:r>
    </w:p>
    <w:p>
      <w:pPr>
        <w:widowControl/>
        <w:numPr>
          <w:ilvl w:val="0"/>
          <w:numId w:val="1"/>
        </w:numPr>
        <w:spacing w:line="560" w:lineRule="exact"/>
        <w:jc w:val="left"/>
        <w:rPr>
          <w:rFonts w:eastAsia="黑体"/>
          <w:sz w:val="32"/>
          <w:szCs w:val="32"/>
        </w:rPr>
      </w:pPr>
      <w:r>
        <w:rPr>
          <w:rFonts w:hint="eastAsia" w:eastAsia="黑体"/>
          <w:sz w:val="32"/>
          <w:szCs w:val="32"/>
        </w:rPr>
        <w:t>拓宽投资主体范围</w:t>
      </w:r>
    </w:p>
    <w:p>
      <w:pPr>
        <w:spacing w:line="560" w:lineRule="exact"/>
        <w:ind w:firstLine="630"/>
        <w:rPr>
          <w:rFonts w:eastAsia="仿宋_GB2312"/>
          <w:sz w:val="32"/>
          <w:szCs w:val="32"/>
        </w:rPr>
      </w:pPr>
      <w:r>
        <w:rPr>
          <w:rFonts w:hint="eastAsia" w:eastAsia="仿宋_GB2312"/>
          <w:sz w:val="32"/>
          <w:szCs w:val="32"/>
        </w:rPr>
        <w:t>将投资主体由“</w:t>
      </w:r>
      <w:r>
        <w:rPr>
          <w:rFonts w:eastAsia="仿宋_GB2312"/>
          <w:sz w:val="32"/>
          <w:szCs w:val="32"/>
        </w:rPr>
        <w:t>在天津市市场监管部门登记注册</w:t>
      </w:r>
      <w:r>
        <w:rPr>
          <w:rFonts w:hint="eastAsia" w:eastAsia="仿宋_GB2312"/>
          <w:sz w:val="32"/>
          <w:szCs w:val="32"/>
        </w:rPr>
        <w:t>的企业”拓宽到“</w:t>
      </w:r>
      <w:r>
        <w:rPr>
          <w:rFonts w:eastAsia="仿宋_GB2312"/>
          <w:sz w:val="32"/>
          <w:szCs w:val="32"/>
        </w:rPr>
        <w:t>在天津市市场监管部门登记注册的</w:t>
      </w:r>
      <w:r>
        <w:rPr>
          <w:rFonts w:hint="eastAsia" w:eastAsia="仿宋_GB2312"/>
          <w:sz w:val="32"/>
          <w:szCs w:val="32"/>
        </w:rPr>
        <w:t>天津</w:t>
      </w:r>
      <w:r>
        <w:rPr>
          <w:rFonts w:eastAsia="仿宋_GB2312"/>
          <w:sz w:val="32"/>
          <w:szCs w:val="32"/>
        </w:rPr>
        <w:t>企业</w:t>
      </w:r>
      <w:r>
        <w:rPr>
          <w:rFonts w:hint="eastAsia" w:eastAsia="仿宋_GB2312"/>
          <w:sz w:val="32"/>
          <w:szCs w:val="32"/>
        </w:rPr>
        <w:t>或由天津企业指定的其全资公司”</w:t>
      </w:r>
      <w:r>
        <w:rPr>
          <w:rFonts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修订</w:t>
      </w:r>
      <w:r>
        <w:rPr>
          <w:rFonts w:eastAsia="仿宋_GB2312"/>
          <w:sz w:val="32"/>
          <w:szCs w:val="32"/>
        </w:rPr>
        <w:t>说明：充分发挥产业扶持资金的引导作用，</w:t>
      </w:r>
      <w:r>
        <w:rPr>
          <w:rFonts w:hint="eastAsia" w:eastAsia="仿宋_GB2312"/>
          <w:sz w:val="32"/>
          <w:szCs w:val="32"/>
        </w:rPr>
        <w:t>结合我市市情，适当放宽对投资主体的限制。对天津企业指定的其全资公司，如能够提供合作协议、委托协议、董事会决议等证明天津企业在推动其全资公司在受援地区投资的主导性，可给予天津企业指定的其全资公司与天津注册企业同等的申报资格。</w:t>
      </w:r>
    </w:p>
    <w:p>
      <w:pPr>
        <w:widowControl/>
        <w:spacing w:line="560" w:lineRule="exact"/>
        <w:ind w:firstLine="645"/>
        <w:rPr>
          <w:rFonts w:eastAsia="黑体"/>
          <w:sz w:val="32"/>
          <w:szCs w:val="32"/>
        </w:rPr>
      </w:pPr>
      <w:r>
        <w:rPr>
          <w:rFonts w:eastAsia="黑体"/>
          <w:sz w:val="32"/>
          <w:szCs w:val="32"/>
        </w:rPr>
        <w:t>二、</w:t>
      </w:r>
      <w:r>
        <w:rPr>
          <w:rFonts w:hint="eastAsia" w:eastAsia="黑体"/>
          <w:sz w:val="32"/>
          <w:szCs w:val="32"/>
        </w:rPr>
        <w:t>取消对项目企业实缴资本的额度要求</w:t>
      </w:r>
    </w:p>
    <w:p>
      <w:pPr>
        <w:widowControl/>
        <w:spacing w:line="560" w:lineRule="exact"/>
        <w:ind w:firstLine="640" w:firstLineChars="200"/>
        <w:jc w:val="left"/>
        <w:rPr>
          <w:rFonts w:eastAsia="仿宋_GB2312"/>
          <w:sz w:val="32"/>
          <w:szCs w:val="32"/>
        </w:rPr>
      </w:pPr>
      <w:r>
        <w:rPr>
          <w:rFonts w:hint="eastAsia" w:eastAsia="仿宋_GB2312"/>
          <w:sz w:val="32"/>
          <w:szCs w:val="32"/>
        </w:rPr>
        <w:t>取消关于“项目企业注册资金实缴额须在100万元（含）以上”的要求。</w:t>
      </w:r>
    </w:p>
    <w:p>
      <w:pPr>
        <w:widowControl/>
        <w:spacing w:line="560" w:lineRule="exact"/>
        <w:ind w:firstLine="640" w:firstLineChars="200"/>
        <w:jc w:val="left"/>
        <w:rPr>
          <w:rFonts w:eastAsia="仿宋_GB2312"/>
          <w:sz w:val="32"/>
          <w:szCs w:val="32"/>
        </w:rPr>
      </w:pPr>
      <w:r>
        <w:rPr>
          <w:rFonts w:hint="eastAsia" w:eastAsia="仿宋_GB2312"/>
          <w:sz w:val="32"/>
          <w:szCs w:val="32"/>
        </w:rPr>
        <w:t>修订</w:t>
      </w:r>
      <w:r>
        <w:rPr>
          <w:rFonts w:eastAsia="仿宋_GB2312"/>
          <w:sz w:val="32"/>
          <w:szCs w:val="32"/>
        </w:rPr>
        <w:t>说明：</w:t>
      </w:r>
      <w:r>
        <w:rPr>
          <w:rFonts w:hint="eastAsia" w:eastAsia="仿宋_GB2312" w:cs="仿宋_GB2312"/>
          <w:sz w:val="32"/>
          <w:szCs w:val="32"/>
        </w:rPr>
        <w:t>一方面，公司法修订以后，企业注册资金多选择认缴登记制，认缴期限由股东自行约定。另一方面，2020年，出现了我市企业到受援地设立分公司的情况，而市场监管部门对分公司没有注册资金的要求。为适应以上变化需要，利于企业更加灵活地选择投资形式，支持企业更快更好地发展带贫产业，取消对项目企业注册资金实缴额的要求。</w:t>
      </w:r>
    </w:p>
    <w:p>
      <w:pPr>
        <w:snapToGrid w:val="0"/>
        <w:spacing w:line="560" w:lineRule="exact"/>
        <w:ind w:firstLine="630"/>
        <w:rPr>
          <w:rFonts w:eastAsia="仿宋_GB2312"/>
          <w:sz w:val="32"/>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p>
    <w:p>
      <w:pPr>
        <w:tabs>
          <w:tab w:val="left" w:pos="6320"/>
          <w:tab w:val="left" w:pos="6478"/>
          <w:tab w:val="left" w:pos="6636"/>
          <w:tab w:val="left" w:pos="7268"/>
          <w:tab w:val="left" w:pos="7584"/>
          <w:tab w:val="left" w:pos="8460"/>
        </w:tabs>
        <w:adjustRightInd w:val="0"/>
        <w:snapToGrid w:val="0"/>
        <w:spacing w:line="520" w:lineRule="exact"/>
        <w:ind w:right="357"/>
        <w:rPr>
          <w:snapToGrid w:val="0"/>
          <w:kern w:val="0"/>
          <w:sz w:val="32"/>
          <w:szCs w:val="32"/>
        </w:rPr>
      </w:pPr>
    </w:p>
    <w:p>
      <w:pPr>
        <w:tabs>
          <w:tab w:val="left" w:pos="6320"/>
          <w:tab w:val="left" w:pos="6478"/>
          <w:tab w:val="left" w:pos="6636"/>
          <w:tab w:val="left" w:pos="7268"/>
          <w:tab w:val="left" w:pos="7584"/>
          <w:tab w:val="left" w:pos="8460"/>
        </w:tabs>
        <w:adjustRightInd w:val="0"/>
        <w:snapToGrid w:val="0"/>
        <w:spacing w:line="520" w:lineRule="exact"/>
        <w:ind w:right="357"/>
        <w:rPr>
          <w:snapToGrid w:val="0"/>
          <w:kern w:val="0"/>
          <w:sz w:val="32"/>
          <w:szCs w:val="32"/>
        </w:rPr>
      </w:pPr>
    </w:p>
    <w:p>
      <w:pPr>
        <w:tabs>
          <w:tab w:val="left" w:pos="6320"/>
          <w:tab w:val="left" w:pos="6478"/>
          <w:tab w:val="left" w:pos="6636"/>
          <w:tab w:val="left" w:pos="7268"/>
          <w:tab w:val="left" w:pos="7584"/>
          <w:tab w:val="left" w:pos="8460"/>
        </w:tabs>
        <w:adjustRightInd w:val="0"/>
        <w:snapToGrid w:val="0"/>
        <w:spacing w:line="520" w:lineRule="exact"/>
        <w:ind w:right="357"/>
        <w:rPr>
          <w:snapToGrid w:val="0"/>
          <w:kern w:val="0"/>
          <w:sz w:val="32"/>
          <w:szCs w:val="32"/>
        </w:rPr>
      </w:pPr>
    </w:p>
    <w:p>
      <w:pPr>
        <w:tabs>
          <w:tab w:val="left" w:pos="6320"/>
          <w:tab w:val="left" w:pos="6478"/>
          <w:tab w:val="left" w:pos="6636"/>
          <w:tab w:val="left" w:pos="7268"/>
          <w:tab w:val="left" w:pos="7584"/>
          <w:tab w:val="left" w:pos="8460"/>
        </w:tabs>
        <w:adjustRightInd w:val="0"/>
        <w:snapToGrid w:val="0"/>
        <w:spacing w:line="520" w:lineRule="exact"/>
        <w:ind w:right="357"/>
        <w:rPr>
          <w:snapToGrid w:val="0"/>
          <w:kern w:val="0"/>
          <w:sz w:val="32"/>
          <w:szCs w:val="32"/>
        </w:rPr>
      </w:pPr>
    </w:p>
    <w:p>
      <w:pPr>
        <w:tabs>
          <w:tab w:val="left" w:pos="6320"/>
          <w:tab w:val="left" w:pos="6478"/>
          <w:tab w:val="left" w:pos="6636"/>
          <w:tab w:val="left" w:pos="7268"/>
          <w:tab w:val="left" w:pos="7584"/>
          <w:tab w:val="left" w:pos="8460"/>
        </w:tabs>
        <w:adjustRightInd w:val="0"/>
        <w:snapToGrid w:val="0"/>
        <w:spacing w:line="440" w:lineRule="exact"/>
        <w:ind w:right="357"/>
        <w:rPr>
          <w:snapToGrid w:val="0"/>
          <w:kern w:val="0"/>
          <w:szCs w:val="32"/>
        </w:rPr>
      </w:pPr>
      <w:r>
        <w:rPr>
          <w:kern w:val="0"/>
          <w:szCs w:val="32"/>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173990</wp:posOffset>
                </wp:positionV>
                <wp:extent cx="5686425" cy="2540"/>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5686425" cy="254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5pt;margin-top:13.7pt;height:0.2pt;width:447.75pt;z-index:251658240;mso-width-relative:page;mso-height-relative:page;" filled="f" stroked="t" coordsize="21600,21600" o:gfxdata="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rRm70wAAAAcBAAAPAAAAAAAAAAEAIAAAACIAAABkcnMvZG93bnJldi54&#10;bWxQSwECFAAUAAAACACHTuJAxHuK6/8BAADyAwAADgAAAAAAAAABACAAAAAiAQAAZHJzL2Uyb0Rv&#10;Yy54bWxQSwUGAAAAAAYABgBZAQAAkwUAAAAA&#10;">
                <v:path arrowok="t"/>
                <v:fill on="f" focussize="0,0"/>
                <v:stroke weight="1.25pt"/>
                <v:imagedata o:title=""/>
                <o:lock v:ext="edit" grouping="f" rotation="f" text="f" aspectratio="f"/>
              </v:line>
            </w:pict>
          </mc:Fallback>
        </mc:AlternateContent>
      </w:r>
    </w:p>
    <w:p>
      <w:pPr>
        <w:tabs>
          <w:tab w:val="left" w:pos="5372"/>
          <w:tab w:val="left" w:pos="7268"/>
          <w:tab w:val="left" w:pos="7584"/>
          <w:tab w:val="left" w:pos="9020"/>
        </w:tabs>
        <w:adjustRightInd w:val="0"/>
        <w:snapToGrid w:val="0"/>
        <w:spacing w:line="360" w:lineRule="auto"/>
        <w:ind w:left="360" w:right="-175"/>
        <w:rPr>
          <w:rFonts w:eastAsia="仿宋_GB2312"/>
          <w:snapToGrid w:val="0"/>
          <w:spacing w:val="-20"/>
          <w:kern w:val="0"/>
          <w:sz w:val="28"/>
          <w:szCs w:val="28"/>
        </w:rPr>
      </w:pPr>
      <w:r>
        <w:rPr>
          <w:rFonts w:eastAsia="仿宋_GB2312"/>
          <w:snapToGrid w:val="0"/>
          <w:spacing w:val="-20"/>
          <w:kern w:val="0"/>
          <w:sz w:val="28"/>
          <w:szCs w:val="28"/>
        </w:rPr>
        <w:t>抄报：国家发展改革委、国务院扶贫办</w:t>
      </w:r>
      <w:r>
        <w:rPr>
          <w:rFonts w:hint="eastAsia" w:eastAsia="仿宋_GB2312"/>
          <w:snapToGrid w:val="0"/>
          <w:spacing w:val="-20"/>
          <w:kern w:val="0"/>
          <w:sz w:val="28"/>
          <w:szCs w:val="28"/>
        </w:rPr>
        <w:t>。</w:t>
      </w:r>
    </w:p>
    <w:p>
      <w:pPr>
        <w:tabs>
          <w:tab w:val="left" w:pos="5372"/>
          <w:tab w:val="left" w:pos="7268"/>
          <w:tab w:val="left" w:pos="7584"/>
          <w:tab w:val="left" w:pos="9020"/>
        </w:tabs>
        <w:adjustRightInd w:val="0"/>
        <w:snapToGrid w:val="0"/>
        <w:spacing w:line="360" w:lineRule="auto"/>
        <w:ind w:left="360" w:right="-175"/>
        <w:rPr>
          <w:rFonts w:hint="eastAsia" w:eastAsia="仿宋_GB2312"/>
          <w:snapToGrid w:val="0"/>
          <w:spacing w:val="-20"/>
          <w:kern w:val="0"/>
          <w:sz w:val="28"/>
          <w:szCs w:val="28"/>
        </w:rPr>
      </w:pPr>
      <w:r>
        <w:rPr>
          <w:rFonts w:eastAsia="仿宋_GB2312"/>
          <w:snapToGrid w:val="0"/>
          <w:spacing w:val="-20"/>
          <w:kern w:val="0"/>
          <w:sz w:val="28"/>
          <w:szCs w:val="28"/>
        </w:rPr>
        <w:t>抄送：甘肃省扶贫办、甘肃省农业农村厅</w:t>
      </w:r>
      <w:r>
        <w:rPr>
          <w:rFonts w:hint="eastAsia" w:eastAsia="仿宋_GB2312"/>
          <w:snapToGrid w:val="0"/>
          <w:spacing w:val="-20"/>
          <w:kern w:val="0"/>
          <w:sz w:val="28"/>
          <w:szCs w:val="28"/>
        </w:rPr>
        <w:t>，兰州市政府、天水市政府、武威市政府、</w:t>
      </w:r>
    </w:p>
    <w:p>
      <w:pPr>
        <w:tabs>
          <w:tab w:val="left" w:pos="5372"/>
          <w:tab w:val="left" w:pos="7268"/>
          <w:tab w:val="left" w:pos="7584"/>
          <w:tab w:val="left" w:pos="9020"/>
        </w:tabs>
        <w:adjustRightInd w:val="0"/>
        <w:snapToGrid w:val="0"/>
        <w:spacing w:line="360" w:lineRule="auto"/>
        <w:ind w:left="360" w:right="-175"/>
        <w:rPr>
          <w:rFonts w:eastAsia="仿宋_GB2312"/>
          <w:snapToGrid w:val="0"/>
          <w:spacing w:val="-20"/>
          <w:kern w:val="0"/>
          <w:sz w:val="28"/>
          <w:szCs w:val="28"/>
        </w:rPr>
      </w:pPr>
      <w:r>
        <w:rPr>
          <w:rFonts w:hint="eastAsia" w:eastAsia="仿宋_GB2312"/>
          <w:snapToGrid w:val="0"/>
          <w:spacing w:val="-20"/>
          <w:kern w:val="0"/>
          <w:sz w:val="28"/>
          <w:szCs w:val="28"/>
        </w:rPr>
        <w:t xml:space="preserve">       庆阳市政府、平凉市政府、白银市政府、甘南藏族自治州政府</w:t>
      </w:r>
      <w:r>
        <w:rPr>
          <w:rFonts w:eastAsia="仿宋_GB2312"/>
          <w:snapToGrid w:val="0"/>
          <w:spacing w:val="-20"/>
          <w:kern w:val="0"/>
          <w:sz w:val="28"/>
          <w:szCs w:val="28"/>
        </w:rPr>
        <w:t>；河北省扶贫办，</w:t>
      </w:r>
    </w:p>
    <w:p>
      <w:pPr>
        <w:tabs>
          <w:tab w:val="left" w:pos="5372"/>
          <w:tab w:val="left" w:pos="7268"/>
          <w:tab w:val="left" w:pos="7584"/>
          <w:tab w:val="left" w:pos="9020"/>
        </w:tabs>
        <w:adjustRightInd w:val="0"/>
        <w:snapToGrid w:val="0"/>
        <w:spacing w:line="360" w:lineRule="auto"/>
        <w:ind w:left="360" w:right="-175"/>
        <w:rPr>
          <w:rFonts w:eastAsia="仿宋_GB2312"/>
          <w:snapToGrid w:val="0"/>
          <w:spacing w:val="-20"/>
          <w:kern w:val="0"/>
          <w:sz w:val="28"/>
          <w:szCs w:val="28"/>
        </w:rPr>
      </w:pPr>
      <w:r>
        <w:rPr>
          <w:rFonts w:hint="eastAsia" w:eastAsia="仿宋_GB2312"/>
          <w:snapToGrid w:val="0"/>
          <w:spacing w:val="-20"/>
          <w:kern w:val="0"/>
          <w:sz w:val="28"/>
          <w:szCs w:val="28"/>
        </w:rPr>
        <w:t xml:space="preserve">       </w:t>
      </w:r>
      <w:r>
        <w:rPr>
          <w:rFonts w:eastAsia="仿宋_GB2312"/>
          <w:snapToGrid w:val="0"/>
          <w:spacing w:val="-20"/>
          <w:kern w:val="0"/>
          <w:sz w:val="28"/>
          <w:szCs w:val="28"/>
        </w:rPr>
        <w:t>承德市政府；和田地区行署；昌都市政府；青海省发展改革委，黄南藏族自治</w:t>
      </w:r>
    </w:p>
    <w:p>
      <w:pPr>
        <w:tabs>
          <w:tab w:val="left" w:pos="5372"/>
          <w:tab w:val="left" w:pos="7268"/>
          <w:tab w:val="left" w:pos="7584"/>
          <w:tab w:val="left" w:pos="9020"/>
        </w:tabs>
        <w:adjustRightInd w:val="0"/>
        <w:snapToGrid w:val="0"/>
        <w:spacing w:line="360" w:lineRule="auto"/>
        <w:ind w:left="360" w:right="-175"/>
        <w:rPr>
          <w:rFonts w:eastAsia="仿宋_GB2312"/>
          <w:snapToGrid w:val="0"/>
          <w:spacing w:val="-20"/>
          <w:kern w:val="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271780</wp:posOffset>
                </wp:positionV>
                <wp:extent cx="5633085" cy="18415"/>
                <wp:effectExtent l="0" t="4445" r="5715" b="5715"/>
                <wp:wrapNone/>
                <wp:docPr id="3" name="直接连接符 3"/>
                <wp:cNvGraphicFramePr/>
                <a:graphic xmlns:a="http://schemas.openxmlformats.org/drawingml/2006/main">
                  <a:graphicData uri="http://schemas.microsoft.com/office/word/2010/wordprocessingShape">
                    <wps:wsp>
                      <wps:cNvSpPr/>
                      <wps:spPr>
                        <a:xfrm>
                          <a:off x="0" y="0"/>
                          <a:ext cx="5633085" cy="1841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pt;margin-top:21.4pt;height:1.45pt;width:443.55pt;z-index:251660288;mso-width-relative:page;mso-height-relative:page;" filled="f" stroked="t" coordsize="21600,21600" o:gfxdata="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kkBkbUAAAABwEAAA8AAAAAAAAAAQAgAAAAIgAAAGRycy9kb3ducmV2LnhtbFBLAQIU&#10;ABQAAAAIAIdO4kC4YDAd9wEAAOgDAAAOAAAAAAAAAAEAIAAAACMBAABkcnMvZTJvRG9jLnhtbFBL&#10;BQYAAAAABgAGAFkBAACMBQAAAAA=&#10;">
                <v:path arrowok="t"/>
                <v:fill on="f" focussize="0,0"/>
                <v:stroke weight="0.5pt"/>
                <v:imagedata o:title=""/>
                <o:lock v:ext="edit" grouping="f" rotation="f" text="f" aspectratio="f"/>
              </v:line>
            </w:pict>
          </mc:Fallback>
        </mc:AlternateContent>
      </w:r>
      <w:r>
        <w:rPr>
          <w:rFonts w:hint="eastAsia" w:eastAsia="仿宋_GB2312"/>
          <w:snapToGrid w:val="0"/>
          <w:spacing w:val="-20"/>
          <w:kern w:val="0"/>
          <w:sz w:val="28"/>
          <w:szCs w:val="28"/>
        </w:rPr>
        <w:t xml:space="preserve">       </w:t>
      </w:r>
      <w:r>
        <w:rPr>
          <w:rFonts w:eastAsia="仿宋_GB2312"/>
          <w:snapToGrid w:val="0"/>
          <w:spacing w:val="-20"/>
          <w:kern w:val="0"/>
          <w:sz w:val="28"/>
          <w:szCs w:val="28"/>
        </w:rPr>
        <w:t>州政府</w:t>
      </w:r>
      <w:r>
        <w:rPr>
          <w:rFonts w:hint="eastAsia" w:eastAsia="仿宋_GB2312"/>
          <w:snapToGrid w:val="0"/>
          <w:spacing w:val="-20"/>
          <w:kern w:val="0"/>
          <w:sz w:val="28"/>
          <w:szCs w:val="28"/>
        </w:rPr>
        <w:t>。</w:t>
      </w:r>
    </w:p>
    <w:p>
      <w:pPr>
        <w:tabs>
          <w:tab w:val="left" w:pos="5372"/>
          <w:tab w:val="left" w:pos="7268"/>
          <w:tab w:val="left" w:pos="7584"/>
          <w:tab w:val="left" w:pos="9020"/>
        </w:tabs>
        <w:adjustRightInd w:val="0"/>
        <w:snapToGrid w:val="0"/>
        <w:spacing w:line="360" w:lineRule="auto"/>
        <w:ind w:left="360" w:right="-175"/>
      </w:pPr>
      <w:r>
        <w:rPr>
          <w:rFonts w:eastAsia="仿宋_GB2312"/>
          <w:spacing w:val="-2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292100</wp:posOffset>
                </wp:positionV>
                <wp:extent cx="5631180" cy="3175"/>
                <wp:effectExtent l="0" t="0" r="0" b="0"/>
                <wp:wrapNone/>
                <wp:docPr id="1" name="直接连接符 1"/>
                <wp:cNvGraphicFramePr/>
                <a:graphic xmlns:a="http://schemas.openxmlformats.org/drawingml/2006/main">
                  <a:graphicData uri="http://schemas.microsoft.com/office/word/2010/wordprocessingShape">
                    <wps:wsp>
                      <wps:cNvSpPr/>
                      <wps:spPr>
                        <a:xfrm flipV="1">
                          <a:off x="0" y="0"/>
                          <a:ext cx="5631180" cy="31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6pt;margin-top:23pt;height:0.25pt;width:443.4pt;z-index:251659264;mso-width-relative:page;mso-height-relative:page;" filled="f" stroked="t" coordsize="21600,21600" o:gfxdata="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lzpDNUAAAAHAQAADwAAAAAAAAABACAAAAAiAAAAZHJzL2Rvd25yZXYueG1s&#10;UEsBAhQAFAAAAAgAh07iQIHfRXP7AQAA8gMAAA4AAAAAAAAAAQAgAAAAJAEAAGRycy9lMm9Eb2Mu&#10;eG1sUEsFBgAAAAAGAAYAWQEAAJEFAAAAAA==&#10;">
                <v:path arrowok="t"/>
                <v:fill on="f" focussize="0,0"/>
                <v:stroke weight="1.25pt"/>
                <v:imagedata o:title=""/>
                <o:lock v:ext="edit" grouping="f" rotation="f" text="f" aspectratio="f"/>
              </v:line>
            </w:pict>
          </mc:Fallback>
        </mc:AlternateContent>
      </w:r>
      <w:r>
        <w:rPr>
          <w:rFonts w:eastAsia="仿宋_GB2312"/>
          <w:snapToGrid w:val="0"/>
          <w:spacing w:val="-20"/>
          <w:kern w:val="0"/>
          <w:sz w:val="28"/>
          <w:szCs w:val="28"/>
        </w:rPr>
        <w:t>天津市</w:t>
      </w:r>
      <w:r>
        <w:rPr>
          <w:rFonts w:eastAsia="仿宋_GB2312"/>
          <w:spacing w:val="-20"/>
          <w:kern w:val="0"/>
          <w:sz w:val="28"/>
          <w:szCs w:val="28"/>
        </w:rPr>
        <w:t>扶贫协作和支援合作工作</w:t>
      </w:r>
      <w:r>
        <w:rPr>
          <w:rFonts w:eastAsia="仿宋_GB2312"/>
          <w:snapToGrid w:val="0"/>
          <w:spacing w:val="-20"/>
          <w:kern w:val="0"/>
          <w:sz w:val="28"/>
          <w:szCs w:val="28"/>
        </w:rPr>
        <w:t>领导小组办公室         20</w:t>
      </w:r>
      <w:r>
        <w:rPr>
          <w:rFonts w:hint="eastAsia" w:eastAsia="仿宋_GB2312"/>
          <w:snapToGrid w:val="0"/>
          <w:spacing w:val="-20"/>
          <w:kern w:val="0"/>
          <w:sz w:val="28"/>
          <w:szCs w:val="28"/>
        </w:rPr>
        <w:t>20</w:t>
      </w:r>
      <w:r>
        <w:rPr>
          <w:rFonts w:eastAsia="仿宋_GB2312"/>
          <w:snapToGrid w:val="0"/>
          <w:spacing w:val="-20"/>
          <w:kern w:val="0"/>
          <w:sz w:val="28"/>
          <w:szCs w:val="28"/>
        </w:rPr>
        <w:t>年</w:t>
      </w:r>
      <w:r>
        <w:rPr>
          <w:rFonts w:hint="eastAsia" w:eastAsia="仿宋_GB2312"/>
          <w:snapToGrid w:val="0"/>
          <w:spacing w:val="-20"/>
          <w:kern w:val="0"/>
          <w:sz w:val="28"/>
          <w:szCs w:val="28"/>
        </w:rPr>
        <w:t>12</w:t>
      </w:r>
      <w:r>
        <w:rPr>
          <w:rFonts w:eastAsia="仿宋_GB2312"/>
          <w:snapToGrid w:val="0"/>
          <w:spacing w:val="-20"/>
          <w:kern w:val="0"/>
          <w:sz w:val="28"/>
          <w:szCs w:val="28"/>
        </w:rPr>
        <w:t>月</w:t>
      </w:r>
      <w:r>
        <w:rPr>
          <w:rFonts w:hint="eastAsia" w:eastAsia="仿宋_GB2312"/>
          <w:snapToGrid w:val="0"/>
          <w:spacing w:val="-20"/>
          <w:kern w:val="0"/>
          <w:sz w:val="28"/>
          <w:szCs w:val="28"/>
        </w:rPr>
        <w:t>28</w:t>
      </w:r>
      <w:r>
        <w:rPr>
          <w:rFonts w:eastAsia="仿宋_GB2312"/>
          <w:snapToGrid w:val="0"/>
          <w:spacing w:val="-20"/>
          <w:kern w:val="0"/>
          <w:sz w:val="28"/>
          <w:szCs w:val="28"/>
        </w:rPr>
        <w:t>日印发</w:t>
      </w:r>
    </w:p>
    <w:sectPr>
      <w:footerReference r:id="rId3" w:type="default"/>
      <w:footerReference r:id="rId4" w:type="even"/>
      <w:pgSz w:w="11906" w:h="16838"/>
      <w:pgMar w:top="1814" w:right="1474" w:bottom="2041" w:left="1474"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t>29</w:t>
                          </w:r>
                          <w:r>
                            <w:rPr>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t>29</w:t>
                    </w:r>
                    <w:r>
                      <w:rPr>
                        <w:sz w:val="28"/>
                        <w:szCs w:val="28"/>
                      </w:rPr>
                      <w:fldChar w:fldCharType="end"/>
                    </w:r>
                    <w:r>
                      <w:rPr>
                        <w:rFonts w:hint="eastAsia"/>
                        <w:sz w:val="28"/>
                        <w:szCs w:val="28"/>
                      </w:rPr>
                      <w:t xml:space="preserve"> —</w:t>
                    </w:r>
                  </w:p>
                </w:txbxContent>
              </v:textbox>
            </v:shape>
          </w:pict>
        </mc:Fallback>
      </mc:AlternateContent>
    </w:r>
  </w:p>
  <w:p>
    <w:pPr>
      <w:pStyle w:val="2"/>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both"/>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t>30</w:t>
                          </w:r>
                          <w:r>
                            <w:rPr>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both"/>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t>30</w:t>
                    </w:r>
                    <w:r>
                      <w:rPr>
                        <w:sz w:val="28"/>
                        <w:szCs w:val="28"/>
                      </w:rPr>
                      <w:fldChar w:fldCharType="end"/>
                    </w:r>
                    <w:r>
                      <w:rPr>
                        <w:rFonts w:hint="eastAsia"/>
                        <w:sz w:val="28"/>
                        <w:szCs w:val="28"/>
                      </w:rPr>
                      <w:t xml:space="preserve"> —</w:t>
                    </w:r>
                  </w:p>
                </w:txbxContent>
              </v:textbox>
            </v:shape>
          </w:pict>
        </mc:Fallback>
      </mc:AlternateContent>
    </w:r>
  </w:p>
  <w:p>
    <w:pPr>
      <w:pStyle w:val="2"/>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E13E7"/>
    <w:multiLevelType w:val="multilevel"/>
    <w:tmpl w:val="5B9E13E7"/>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11827"/>
    <w:rsid w:val="09F11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2021-01-06T02:05:00Z</dcterms:created>
  <dc:creator>春龙</dc:creator>
  <cp:lastModifiedBy>春龙</cp:lastModifiedBy>
  <dcterms:modified xsi:type="dcterms:W3CDTF">2021-01-06T02:05:57Z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