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after="312" w:afterLines="100"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重点用能单位市级节能监察名单</w:t>
      </w:r>
      <w:bookmarkEnd w:id="0"/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140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 w:bidi="ar"/>
              </w:rPr>
              <w:t>监察任务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天津铁厂有限公司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天津钢铁集团有限公司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天津市新天钢联合特钢有限公司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天津钢管制造有限公司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天津荣程联合钢铁集团有限公司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天津国投津能发电有限公司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天津大唐国际盘山发电有限责任公司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天津国华盘山发电有限责任公司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天津华能杨柳青热电有限责任公司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天津大港广安津能发电有限责任公司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国能（天津）大港发电厂有限公司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天津陈塘热电有限公司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天津国能津能热电有限公司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天津国能津能滨海热电有限公司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天津军电热电有限公司</w:t>
            </w:r>
          </w:p>
        </w:tc>
        <w:tc>
          <w:tcPr>
            <w:tcW w:w="4082" w:type="dxa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天津军粮城发电有限公司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国网天津市电力公司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中国石油化工股份有限公司天津分公司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中沙（天津）石化有限公司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中海石油（中国）有限公司天津分公司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天津大沽化工股份有限公司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天津渤化永利化工股份有限公司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玖龙纸业（天津）有限公司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单位产品能耗限额标准执行情况监察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高耗能落后机电设备淘汰情况监察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重点用能单位节能管理制度执行情况监察</w:t>
            </w:r>
          </w:p>
        </w:tc>
      </w:tr>
    </w:tbl>
    <w:p>
      <w:pPr>
        <w:widowControl/>
        <w:snapToGrid w:val="0"/>
        <w:jc w:val="center"/>
        <w:textAlignment w:val="center"/>
        <w:rPr>
          <w:rFonts w:hint="eastAsia" w:ascii="仿宋_GB2312" w:hAnsi="宋体" w:eastAsia="仿宋_GB2312" w:cs="仿宋_GB2312"/>
          <w:color w:val="000000"/>
          <w:kern w:val="0"/>
          <w:szCs w:val="21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80DEB"/>
    <w:rsid w:val="3D18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2021-06-25T06:45:00Z</dcterms:created>
  <dc:creator>春龙</dc:creator>
  <cp:lastModifiedBy>春龙</cp:lastModifiedBy>
  <dcterms:modified xsi:type="dcterms:W3CDTF">2021-06-25T06:46:21Z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A312ADB1E9824E77BB7FEE6DC7E5CB47</vt:lpwstr>
  </property>
</Properties>
</file>