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市中心妇产科医院原址改扩建工程初步设计调整概算核定表</w:t>
      </w:r>
    </w:p>
    <w:bookmarkEnd w:id="0"/>
    <w:p>
      <w:pPr>
        <w:wordWrap w:val="0"/>
        <w:spacing w:line="520" w:lineRule="exact"/>
        <w:ind w:right="26"/>
        <w:rPr>
          <w:rFonts w:eastAsia="仿宋_GB2312"/>
          <w:sz w:val="32"/>
          <w:szCs w:val="32"/>
        </w:rPr>
      </w:pPr>
    </w:p>
    <w:tbl>
      <w:tblPr>
        <w:tblStyle w:val="2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429"/>
        <w:gridCol w:w="2625"/>
        <w:gridCol w:w="1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工程或费用名称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核定概算投资（万元）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一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工程费用</w:t>
            </w:r>
          </w:p>
        </w:tc>
        <w:tc>
          <w:tcPr>
            <w:tcW w:w="280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</w:rPr>
              <w:t>59101.24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（一）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门诊综合楼助孕中心</w:t>
            </w:r>
          </w:p>
        </w:tc>
        <w:tc>
          <w:tcPr>
            <w:tcW w:w="280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30221.07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基坑支护及打桩工程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3262.63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建筑工程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10500.21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内（简）粗装修工程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1144.22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内精装修工程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3486.17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外装修工程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1674.98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给排水工程（含泵房）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709.16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消防工程（含泵房）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719.85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通风空调工程（含制冷及冷却循环水）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2452.36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洁净工程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1266.65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变电工艺及柴油发电机工程   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669.59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电气工程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1669.58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弱电工程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1634.82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电梯工程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581.90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医用气体系统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128.70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垃圾处理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150.00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抗震支架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170.25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（二）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室外工程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1507.03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（三）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调整概算内容</w:t>
            </w:r>
          </w:p>
        </w:tc>
        <w:tc>
          <w:tcPr>
            <w:tcW w:w="280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2193.88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人工及钢筋、电缆电线调差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1727.17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变电工艺及柴油发电机工程调差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289.91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室外电缆（开闭站上火）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34.93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供电电源线路建设费（含开闭站迁移）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141.87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（四）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地铁应急费用、渗漏修复、囊式注浆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706.35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（五）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医疗设备投资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16214.00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（六）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信息化建设投资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lang w:val="e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82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lang w:val="en" w:bidi="ar"/>
              </w:rPr>
              <w:t>58.90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二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工程建设其他费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lang w:val="en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lang w:val="en" w:bidi="ar"/>
              </w:rPr>
              <w:t>2604.74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建设单位管理费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414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场地准备费及临时设施费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311.44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项目前期咨询费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35.00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勘察、设计费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739.66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工程建设监理费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262.74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工程建设交易服务费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3.00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工程保险费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31.14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人防易地建设费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130.68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运营线路地铁监测费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192.64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地铁专项技术咨询和安全评估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98.00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水资源税费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12.90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烟尘和一般性粉尘排污费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61.90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检验、检测、监测等费用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247.77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破路、破绿交通标线恢复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lang w:val="e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val="en" w:bidi="ar"/>
              </w:rPr>
              <w:t>40.00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水土保持方案咨询费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23.86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三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预备费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960</w:t>
            </w:r>
          </w:p>
        </w:tc>
        <w:tc>
          <w:tcPr>
            <w:tcW w:w="1793" w:type="dxa"/>
            <w:noWrap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</w:rPr>
              <w:t>概算总投资</w:t>
            </w:r>
          </w:p>
        </w:tc>
        <w:tc>
          <w:tcPr>
            <w:tcW w:w="28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62665.98</w:t>
            </w:r>
          </w:p>
        </w:tc>
        <w:tc>
          <w:tcPr>
            <w:tcW w:w="17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</w:tbl>
    <w:p>
      <w:pPr>
        <w:wordWrap w:val="0"/>
        <w:spacing w:line="520" w:lineRule="exact"/>
        <w:ind w:right="26"/>
        <w:rPr>
          <w:rFonts w:eastAsia="仿宋_GB2312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321D7D46"/>
    <w:rsid w:val="01142EED"/>
    <w:rsid w:val="118F4775"/>
    <w:rsid w:val="321D7D46"/>
    <w:rsid w:val="616E2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444</Characters>
  <Lines>0</Lines>
  <Paragraphs>0</Paragraphs>
  <TotalTime>0</TotalTime>
  <ScaleCrop>false</ScaleCrop>
  <LinksUpToDate>false</LinksUpToDate>
  <CharactersWithSpaces>448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2022-06-14T07:47:00Z</dcterms:created>
  <dc:creator>WPS_1628732352</dc:creator>
  <cp:lastModifiedBy>WPS_1628732352</cp:lastModifiedBy>
  <dcterms:modified xsi:type="dcterms:W3CDTF">2022-06-14T08:15:46Z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E40BBCBB562B4F6690C0D16BCD0DB08A</vt:lpwstr>
  </property>
</Properties>
</file>