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500" w:lineRule="exact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天津市</w:t>
      </w:r>
      <w:r>
        <w:rPr>
          <w:rFonts w:hint="eastAsia" w:eastAsia="方正小标宋简体"/>
          <w:sz w:val="44"/>
          <w:szCs w:val="44"/>
        </w:rPr>
        <w:t>武清区永定河综合治理与生态修复工程项目（水务部分）</w:t>
      </w:r>
      <w:r>
        <w:rPr>
          <w:rFonts w:eastAsia="方正小标宋简体"/>
          <w:sz w:val="44"/>
          <w:szCs w:val="44"/>
        </w:rPr>
        <w:t>概算核定表</w:t>
      </w:r>
      <w:bookmarkEnd w:id="0"/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436"/>
        <w:gridCol w:w="1663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tblHeader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2"/>
                <w:szCs w:val="22"/>
              </w:rPr>
            </w:pPr>
            <w:r>
              <w:rPr>
                <w:rFonts w:ascii="黑体" w:hAnsi="黑体" w:eastAsia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工程或费用名称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核定概算投资（万元）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Ⅰ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工程部分投资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41190.51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第一部分：建筑工程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30167.37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一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河道主槽清淤扩挖工程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4102.42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二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滩地整治工程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2270.38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三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建筑物工程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6774.44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四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堤坡绿化工程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9733.48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五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新建南北寺水质净化工程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1160.64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六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交通工程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5662.52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七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房屋建筑工程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304.70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八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供电设施工程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120.00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九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其他建筑工程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38.80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第二部分：机电设备及安装工程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2472.14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一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泵站设备及安装工程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556.69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二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水闸设备及安装工程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297.84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三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滩地浇灌设备及安装工程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13.72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四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水质净化设备及安装工程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75.41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五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公用设备及安装工程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1528.48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第三部分：金属结构设备安装工程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2730.75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一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泵站金属结构设备安装工程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223.90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二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水闸金属结构设备安装工程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2506.85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第四部分：施工临时工程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964.76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一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施工导流工程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124.73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二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施工交通工程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21.90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三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施工供电工程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20.00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四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施工房屋建筑工程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479.05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五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其他施工临时工程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319.08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第五部分：独立费用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3655.76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一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建设管理费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883.45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二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工程建设监理费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497.68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三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联合试运转费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3.20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四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生产准备费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110.78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五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勘测设计费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1660.65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六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500.01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一至五部分投资合计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39990.78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基本预备费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1199.72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静态投资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41190.51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Ⅱ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移民环境工程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87336.17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一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建设地征移民补偿投资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85284.62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二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环境保护工程投资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1539.60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三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水土保持工程投资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511.96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静态总投资（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Ⅰ</w:t>
            </w: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～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Ⅱ</w:t>
            </w: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合计）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128526.68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建设期利息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3824.97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Ⅲ</w:t>
            </w:r>
          </w:p>
        </w:tc>
        <w:tc>
          <w:tcPr>
            <w:tcW w:w="2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工程总投资总计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  <w:lang w:bidi="ar"/>
              </w:rPr>
              <w:t>132351.65</w:t>
            </w:r>
          </w:p>
        </w:tc>
        <w:tc>
          <w:tcPr>
            <w:tcW w:w="9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20"/>
                <w:lang w:bidi="ar"/>
              </w:rPr>
            </w:pPr>
          </w:p>
        </w:tc>
      </w:tr>
    </w:tbl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46F4E"/>
    <w:rsid w:val="03076ABD"/>
    <w:rsid w:val="07383203"/>
    <w:rsid w:val="0960292A"/>
    <w:rsid w:val="0A8A4B19"/>
    <w:rsid w:val="10337605"/>
    <w:rsid w:val="116311CF"/>
    <w:rsid w:val="11856488"/>
    <w:rsid w:val="21406560"/>
    <w:rsid w:val="24DE3764"/>
    <w:rsid w:val="31D6007B"/>
    <w:rsid w:val="336F78A4"/>
    <w:rsid w:val="52B46F4E"/>
    <w:rsid w:val="78CA4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2021-06-28T06:44:00Z</dcterms:created>
  <dc:creator>春龙</dc:creator>
  <cp:lastModifiedBy>春龙</cp:lastModifiedBy>
  <dcterms:modified xsi:type="dcterms:W3CDTF">2021-06-28T07:11:53Z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6727470450604DEEB2D66A98E8108057</vt:lpwstr>
  </property>
</Properties>
</file>