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方正小标宋简体"/>
          <w:bCs/>
          <w:sz w:val="44"/>
          <w:szCs w:val="44"/>
        </w:rPr>
      </w:pPr>
      <w:bookmarkStart w:id="97" w:name="_GoBack"/>
      <w:r>
        <w:rPr>
          <w:rFonts w:hAnsi="方正小标宋简体" w:eastAsia="方正小标宋简体"/>
          <w:bCs/>
          <w:sz w:val="44"/>
          <w:szCs w:val="44"/>
        </w:rPr>
        <w:t>天津市服务业发展</w:t>
      </w:r>
      <w:r>
        <w:rPr>
          <w:rFonts w:eastAsia="方正小标宋简体"/>
          <w:bCs/>
          <w:sz w:val="44"/>
          <w:szCs w:val="44"/>
        </w:rPr>
        <w:t>“</w:t>
      </w:r>
      <w:r>
        <w:rPr>
          <w:rFonts w:hAnsi="方正小标宋简体" w:eastAsia="方正小标宋简体"/>
          <w:bCs/>
          <w:sz w:val="44"/>
          <w:szCs w:val="44"/>
        </w:rPr>
        <w:t>十四五</w:t>
      </w:r>
      <w:r>
        <w:rPr>
          <w:rFonts w:eastAsia="方正小标宋简体"/>
          <w:bCs/>
          <w:sz w:val="44"/>
          <w:szCs w:val="44"/>
        </w:rPr>
        <w:t>”</w:t>
      </w:r>
      <w:r>
        <w:rPr>
          <w:rFonts w:hAnsi="方正小标宋简体" w:eastAsia="方正小标宋简体"/>
          <w:bCs/>
          <w:sz w:val="44"/>
          <w:szCs w:val="44"/>
        </w:rPr>
        <w:t>规划</w:t>
      </w:r>
      <w:bookmarkEnd w:id="97"/>
    </w:p>
    <w:p>
      <w:pPr>
        <w:spacing w:line="580" w:lineRule="exact"/>
        <w:jc w:val="center"/>
        <w:rPr>
          <w:rFonts w:eastAsia="黑体"/>
          <w:sz w:val="44"/>
          <w:szCs w:val="40"/>
        </w:rPr>
      </w:pPr>
    </w:p>
    <w:p>
      <w:pPr>
        <w:adjustRightInd w:val="0"/>
        <w:snapToGrid w:val="0"/>
        <w:spacing w:line="580" w:lineRule="exact"/>
        <w:ind w:firstLine="640"/>
        <w:outlineLvl w:val="1"/>
        <w:rPr>
          <w:rFonts w:eastAsia="仿宋_GB2312"/>
          <w:bCs/>
          <w:sz w:val="32"/>
          <w:szCs w:val="32"/>
        </w:rPr>
      </w:pPr>
      <w:bookmarkStart w:id="0" w:name="_Toc48658724"/>
      <w:bookmarkStart w:id="1" w:name="_Toc16130"/>
      <w:r>
        <w:rPr>
          <w:rFonts w:eastAsia="仿宋_GB2312"/>
          <w:bCs/>
          <w:sz w:val="32"/>
          <w:szCs w:val="32"/>
        </w:rPr>
        <w:t>“十四五”时期，是天津开启全面建设社会主义现代化大都市新征程的第一个五年，是推动高质量发展、构建新发展格局的关键时期。加快形成与现代化大都市地位相适应的服务经济体系，是落实习近平总书记对天津工作“三个着力”重要要求的战略举措，是实现天津城市功能定位、塑造天津城市竞争新优势的重要抓手。根据党中央、国务院关于加快服务业发展的总体要求和《天津市国民经济和社会发展第十四个五年规划和二</w:t>
      </w:r>
      <w:r>
        <w:rPr>
          <w:rFonts w:hAnsi="宋体"/>
          <w:bCs/>
          <w:sz w:val="32"/>
          <w:szCs w:val="32"/>
        </w:rPr>
        <w:t>〇</w:t>
      </w:r>
      <w:r>
        <w:rPr>
          <w:rFonts w:hAnsi="仿宋_GB2312" w:eastAsia="仿宋_GB2312"/>
          <w:bCs/>
          <w:sz w:val="32"/>
          <w:szCs w:val="32"/>
        </w:rPr>
        <w:t>三五年远景目标纲要</w:t>
      </w:r>
      <w:r>
        <w:rPr>
          <w:rFonts w:eastAsia="仿宋_GB2312"/>
          <w:bCs/>
          <w:sz w:val="32"/>
          <w:szCs w:val="32"/>
        </w:rPr>
        <w:t>》，制定本规划。规划期为2021年—2025年。</w:t>
      </w:r>
    </w:p>
    <w:bookmarkEnd w:id="0"/>
    <w:p>
      <w:pPr>
        <w:keepNext/>
        <w:keepLines/>
        <w:numPr>
          <w:ilvl w:val="0"/>
          <w:numId w:val="1"/>
        </w:numPr>
        <w:spacing w:line="580" w:lineRule="exact"/>
        <w:ind w:firstLine="721"/>
        <w:outlineLvl w:val="0"/>
        <w:rPr>
          <w:rFonts w:eastAsia="黑体"/>
          <w:bCs/>
          <w:kern w:val="44"/>
          <w:sz w:val="32"/>
          <w:szCs w:val="44"/>
        </w:rPr>
      </w:pPr>
      <w:bookmarkStart w:id="2" w:name="_Toc485309550_WPSOffice_Level1"/>
      <w:bookmarkStart w:id="3" w:name="_Toc908119626"/>
      <w:r>
        <w:rPr>
          <w:rFonts w:hAnsi="Calibri" w:eastAsia="黑体"/>
          <w:bCs/>
          <w:kern w:val="44"/>
          <w:sz w:val="32"/>
          <w:szCs w:val="44"/>
        </w:rPr>
        <w:t>发展基础与</w:t>
      </w:r>
      <w:bookmarkEnd w:id="1"/>
      <w:r>
        <w:rPr>
          <w:rFonts w:hAnsi="Calibri" w:eastAsia="黑体"/>
          <w:bCs/>
          <w:kern w:val="44"/>
          <w:sz w:val="32"/>
          <w:szCs w:val="44"/>
        </w:rPr>
        <w:t>面临形势</w:t>
      </w:r>
      <w:bookmarkEnd w:id="2"/>
      <w:bookmarkEnd w:id="3"/>
      <w:bookmarkStart w:id="4" w:name="_Toc30918"/>
      <w:bookmarkStart w:id="5" w:name="_Toc48658725"/>
    </w:p>
    <w:p>
      <w:pPr>
        <w:keepNext/>
        <w:keepLines/>
        <w:spacing w:line="580" w:lineRule="exact"/>
        <w:ind w:firstLine="801"/>
        <w:outlineLvl w:val="1"/>
        <w:rPr>
          <w:rFonts w:eastAsia="楷体_GB2312"/>
          <w:kern w:val="0"/>
          <w:sz w:val="32"/>
          <w:szCs w:val="24"/>
        </w:rPr>
      </w:pPr>
      <w:bookmarkStart w:id="6" w:name="_Toc1477432685_WPSOffice_Level2"/>
      <w:bookmarkStart w:id="7" w:name="_Toc990116337"/>
      <w:r>
        <w:rPr>
          <w:rFonts w:hAnsi="Arial" w:eastAsia="楷体_GB2312"/>
          <w:kern w:val="0"/>
          <w:sz w:val="32"/>
          <w:szCs w:val="24"/>
        </w:rPr>
        <w:t>（一）</w:t>
      </w:r>
      <w:r>
        <w:rPr>
          <w:rFonts w:eastAsia="楷体_GB2312"/>
          <w:kern w:val="0"/>
          <w:sz w:val="32"/>
          <w:szCs w:val="24"/>
        </w:rPr>
        <w:t>“</w:t>
      </w:r>
      <w:r>
        <w:rPr>
          <w:rFonts w:hAnsi="Arial" w:eastAsia="楷体_GB2312"/>
          <w:kern w:val="0"/>
          <w:sz w:val="32"/>
          <w:szCs w:val="24"/>
        </w:rPr>
        <w:t>十三五</w:t>
      </w:r>
      <w:r>
        <w:rPr>
          <w:rFonts w:eastAsia="楷体_GB2312"/>
          <w:kern w:val="0"/>
          <w:sz w:val="32"/>
          <w:szCs w:val="24"/>
        </w:rPr>
        <w:t>”</w:t>
      </w:r>
      <w:r>
        <w:rPr>
          <w:rFonts w:hAnsi="Arial" w:eastAsia="楷体_GB2312"/>
          <w:kern w:val="0"/>
          <w:sz w:val="32"/>
          <w:szCs w:val="24"/>
        </w:rPr>
        <w:t>发展成就</w:t>
      </w:r>
      <w:bookmarkEnd w:id="4"/>
      <w:bookmarkEnd w:id="5"/>
      <w:bookmarkEnd w:id="6"/>
      <w:bookmarkEnd w:id="7"/>
    </w:p>
    <w:p>
      <w:pPr>
        <w:adjustRightInd w:val="0"/>
        <w:snapToGrid w:val="0"/>
        <w:spacing w:line="580" w:lineRule="exact"/>
        <w:ind w:firstLine="640"/>
        <w:rPr>
          <w:rFonts w:eastAsia="仿宋_GB2312"/>
          <w:bCs/>
          <w:sz w:val="32"/>
          <w:szCs w:val="32"/>
        </w:rPr>
      </w:pPr>
      <w:r>
        <w:rPr>
          <w:rFonts w:eastAsia="仿宋_GB2312"/>
          <w:bCs/>
          <w:sz w:val="32"/>
          <w:szCs w:val="32"/>
        </w:rPr>
        <w:t>“十三五”期间，坚持以习近平新时代中国特色社会主义思想为指导，全面贯彻党的十九大和二中、三中、四中、五中全会精神，深入贯彻落实习近平总书记对天津工作“三个着力”重要要求和一系列重要指示批示精神，坚定不移贯彻新发展理念，坚定不移走高质量发展之路，天津市服务业规模持续壮大，结构不断优化，层级稳步提升，新旧动能加快转换，涌现出一批带动性强的服务品牌企业和新经济企业，建成了一批具有全国及地区影响力的服务业载体与平台，对全产业链的支撑作用显著增强。</w:t>
      </w:r>
    </w:p>
    <w:p>
      <w:pPr>
        <w:adjustRightInd w:val="0"/>
        <w:snapToGrid w:val="0"/>
        <w:spacing w:line="580" w:lineRule="exact"/>
        <w:ind w:firstLine="640"/>
        <w:rPr>
          <w:rFonts w:eastAsia="仿宋_GB2312"/>
          <w:bCs/>
          <w:sz w:val="32"/>
          <w:szCs w:val="32"/>
        </w:rPr>
      </w:pPr>
      <w:r>
        <w:rPr>
          <w:rFonts w:eastAsia="楷体_GB2312"/>
          <w:bCs/>
          <w:kern w:val="0"/>
          <w:sz w:val="32"/>
          <w:szCs w:val="32"/>
        </w:rPr>
        <w:t>经济拉动作用明显，主导地位持续巩固。</w:t>
      </w:r>
      <w:r>
        <w:rPr>
          <w:rFonts w:eastAsia="仿宋_GB2312"/>
          <w:bCs/>
          <w:sz w:val="32"/>
          <w:szCs w:val="32"/>
        </w:rPr>
        <w:t>“十三五”以来，天津市服务业规模日益壮大，综合实力不断增强，2020年全市服务业增加值实现9069.47亿元，占全市生产总值的比重达64.4%，较“十二五”末提高</w:t>
      </w:r>
      <w:r>
        <w:rPr>
          <w:rFonts w:eastAsia="仿宋_GB2312"/>
          <w:bCs/>
          <w:sz w:val="32"/>
          <w:szCs w:val="32"/>
          <w:lang w:val="en"/>
        </w:rPr>
        <w:t>7.2</w:t>
      </w:r>
      <w:r>
        <w:rPr>
          <w:rFonts w:eastAsia="仿宋_GB2312"/>
          <w:bCs/>
          <w:sz w:val="32"/>
          <w:szCs w:val="32"/>
        </w:rPr>
        <w:t>个百分点，优势地位进一步巩固。经济拉动作用明显，“十三五”期间服务业增加值年均增长5.1%，高于全市GDP增速1.3个百分点。市场活力更加凸显，2020年全市新增服务业市场主体22万户，占全市新增市场主体的85.9%，服务业成为全市新增市场主体的主力军和新动能的主要来源。</w:t>
      </w:r>
    </w:p>
    <w:p>
      <w:pPr>
        <w:adjustRightInd w:val="0"/>
        <w:snapToGrid w:val="0"/>
        <w:spacing w:line="580" w:lineRule="exact"/>
        <w:ind w:firstLine="640"/>
        <w:rPr>
          <w:rFonts w:eastAsia="仿宋_GB2312"/>
          <w:bCs/>
          <w:sz w:val="32"/>
          <w:szCs w:val="32"/>
        </w:rPr>
      </w:pPr>
      <w:r>
        <w:rPr>
          <w:rFonts w:eastAsia="楷体_GB2312"/>
          <w:bCs/>
          <w:kern w:val="0"/>
          <w:sz w:val="32"/>
          <w:szCs w:val="32"/>
        </w:rPr>
        <w:t>产业结构明显优化，新经济业态加速成长。</w:t>
      </w:r>
      <w:r>
        <w:rPr>
          <w:rFonts w:eastAsia="仿宋_GB2312"/>
          <w:bCs/>
          <w:sz w:val="32"/>
          <w:szCs w:val="32"/>
        </w:rPr>
        <w:t>“十三五”期间，以商贸、金融为支柱，信息服务、科技服务、商务服务等新兴服务快速成长的服务业发展格局加快形成。商贸与金融服务支撑作用明显，2020年批发和零售业、住宿和餐饮业、金融业增加值合计占服务业增加值比重37.9%，较“十二五”末降低5.8个百分点。信息传输软件和信息技术服务业、租赁和商务服务业、科学研究和技术服务业增加值占服务业增加值比重分别为6.1%、5.1%、6.8%，分别较“十二五”末提升3.4、2、1个百分点，正日益成为服务业发展的中坚力量，涌现出工业互联网、大数据+、工业旅游、全域旅游、信创产业等一大批新模式新业态。</w:t>
      </w:r>
    </w:p>
    <w:p>
      <w:pPr>
        <w:adjustRightInd w:val="0"/>
        <w:snapToGrid w:val="0"/>
        <w:spacing w:line="580" w:lineRule="exact"/>
        <w:ind w:firstLine="640"/>
        <w:rPr>
          <w:rFonts w:eastAsia="仿宋_GB2312"/>
          <w:bCs/>
          <w:sz w:val="32"/>
          <w:szCs w:val="32"/>
        </w:rPr>
      </w:pPr>
      <w:r>
        <w:rPr>
          <w:rFonts w:eastAsia="楷体_GB2312"/>
          <w:bCs/>
          <w:kern w:val="0"/>
          <w:sz w:val="32"/>
          <w:szCs w:val="32"/>
        </w:rPr>
        <w:t>平台载体建设不断推进，产业支撑作用更加显著。</w:t>
      </w:r>
      <w:r>
        <w:rPr>
          <w:rFonts w:eastAsia="仿宋_GB2312"/>
          <w:bCs/>
          <w:sz w:val="32"/>
          <w:szCs w:val="32"/>
        </w:rPr>
        <w:t>一批现代服务业重点集聚区加快建成，形成显著产业集聚带动效应，成为天津市招牌。经开区推动国家两业融合试点区域建设，打造亿</w:t>
      </w:r>
      <w:r>
        <w:rPr>
          <w:rFonts w:hAnsi="宋体"/>
          <w:bCs/>
          <w:sz w:val="32"/>
          <w:szCs w:val="32"/>
        </w:rPr>
        <w:t>昇</w:t>
      </w:r>
      <w:r>
        <w:rPr>
          <w:rFonts w:hAnsi="仿宋_GB2312" w:eastAsia="仿宋_GB2312"/>
          <w:bCs/>
          <w:sz w:val="32"/>
          <w:szCs w:val="32"/>
        </w:rPr>
        <w:t>科技、航天瑞莱、凯莱英、泽达易盛等典</w:t>
      </w:r>
      <w:r>
        <w:rPr>
          <w:rFonts w:eastAsia="仿宋_GB2312"/>
          <w:bCs/>
          <w:sz w:val="32"/>
          <w:szCs w:val="32"/>
        </w:rPr>
        <w:t>型融合案例及场景，推动制造服务业发展。空港航空物流区汇聚了天津货运航空、天津航空、顺丰、中通、普洛斯等各类企业，形成了涵盖航空运输、快递、仓储物流、货代等领域的航空物流全产业链。高新区推动飞腾、曙光、360等信创产业龙头企业集聚，加快打造“中国信创谷”。东疆综合保税区打造融资租赁升级版，租赁资产总额达到1万亿元以上。海河教育园区打造一流高职园，初步集聚了电子信息职业技术学院等9所职业院校，助力全国先进制造研发基地建设。中国邮轮旅游发展实验区建设成效显著，邮轮母港综合配套设施不断完善，服务功能进一步提升。“十三五”期间，邮轮母港累计接待游客突破 300 万人次。</w:t>
      </w:r>
    </w:p>
    <w:p>
      <w:pPr>
        <w:adjustRightInd w:val="0"/>
        <w:snapToGrid w:val="0"/>
        <w:spacing w:line="580" w:lineRule="exact"/>
        <w:ind w:firstLine="640"/>
        <w:rPr>
          <w:rFonts w:eastAsia="仿宋_GB2312"/>
          <w:bCs/>
          <w:sz w:val="32"/>
          <w:szCs w:val="32"/>
        </w:rPr>
      </w:pPr>
      <w:r>
        <w:rPr>
          <w:rFonts w:eastAsia="楷体_GB2312"/>
          <w:bCs/>
          <w:kern w:val="0"/>
          <w:sz w:val="32"/>
          <w:szCs w:val="32"/>
        </w:rPr>
        <w:t>发展环境显著改善，投资开放取得明显成效。</w:t>
      </w:r>
      <w:r>
        <w:rPr>
          <w:rFonts w:eastAsia="仿宋_GB2312"/>
          <w:bCs/>
          <w:sz w:val="32"/>
          <w:szCs w:val="32"/>
        </w:rPr>
        <w:t>2020年，服务业引进外资占全市引进外资比重达到87.5%，较“十二五”末提高超过40个百分点。“十三五”期间，服务业实际利用外资年均增长4%。依托自贸区探索实施外商投资信息报告制度，放宽跨境商务人员出入境条件，简化外商投资审批流程，服务业扩大投资开放取得良好成效。跨境电商从无到有，2020年，跨境电商进口共计申报清单</w:t>
      </w:r>
      <w:r>
        <w:rPr>
          <w:rFonts w:eastAsia="仿宋_GB2312"/>
          <w:bCs/>
          <w:sz w:val="32"/>
          <w:szCs w:val="32"/>
          <w:lang w:val="en"/>
        </w:rPr>
        <w:t>2924.8</w:t>
      </w:r>
      <w:r>
        <w:rPr>
          <w:rFonts w:eastAsia="仿宋_GB2312"/>
          <w:bCs/>
          <w:sz w:val="32"/>
          <w:szCs w:val="32"/>
        </w:rPr>
        <w:t>万单，进口销售额</w:t>
      </w:r>
      <w:r>
        <w:rPr>
          <w:rFonts w:eastAsia="仿宋_GB2312"/>
          <w:bCs/>
          <w:sz w:val="32"/>
          <w:szCs w:val="32"/>
          <w:lang w:val="en"/>
        </w:rPr>
        <w:t>48.5</w:t>
      </w:r>
      <w:r>
        <w:rPr>
          <w:rFonts w:eastAsia="仿宋_GB2312"/>
          <w:bCs/>
          <w:sz w:val="32"/>
          <w:szCs w:val="32"/>
        </w:rPr>
        <w:t>亿元人民币，进口业务规模位居全国前列。服务外包执行额2020年增长到45.2亿美元，“十三五”年均增速为18.8%。</w:t>
      </w:r>
    </w:p>
    <w:p>
      <w:pPr>
        <w:adjustRightInd w:val="0"/>
        <w:snapToGrid w:val="0"/>
        <w:spacing w:line="580" w:lineRule="exact"/>
        <w:ind w:firstLine="640"/>
        <w:rPr>
          <w:rFonts w:eastAsia="仿宋_GB2312"/>
          <w:bCs/>
          <w:sz w:val="32"/>
          <w:szCs w:val="32"/>
        </w:rPr>
      </w:pPr>
      <w:r>
        <w:rPr>
          <w:rFonts w:eastAsia="仿宋_GB2312"/>
          <w:bCs/>
          <w:sz w:val="32"/>
          <w:szCs w:val="32"/>
        </w:rPr>
        <w:t>同时，服务业也存在一些突出问题和薄弱环节。一是服务业增长内生动力不足，新动能体量还不够大。二是产业内部结构有待优化，低附加值的传统服务业占据较大比重。三是龙头企业较少，缺乏具有强影响力和高显示度的服务业大企业。四是服务业集聚度不高，服务辐射功能不强。</w:t>
      </w:r>
    </w:p>
    <w:p>
      <w:pPr>
        <w:keepNext/>
        <w:keepLines/>
        <w:spacing w:line="580" w:lineRule="exact"/>
        <w:ind w:firstLine="801"/>
        <w:outlineLvl w:val="1"/>
        <w:rPr>
          <w:rFonts w:eastAsia="楷体_GB2312"/>
          <w:kern w:val="0"/>
          <w:sz w:val="32"/>
          <w:szCs w:val="24"/>
        </w:rPr>
      </w:pPr>
      <w:bookmarkStart w:id="8" w:name="_Toc102232250"/>
      <w:bookmarkStart w:id="9" w:name="_Toc18465"/>
      <w:bookmarkStart w:id="10" w:name="_Toc1944342509_WPSOffice_Level2"/>
      <w:r>
        <w:rPr>
          <w:rFonts w:hAnsi="Arial" w:eastAsia="楷体_GB2312"/>
          <w:kern w:val="0"/>
          <w:sz w:val="32"/>
          <w:szCs w:val="24"/>
        </w:rPr>
        <w:t>（二）</w:t>
      </w:r>
      <w:r>
        <w:rPr>
          <w:rFonts w:eastAsia="楷体_GB2312"/>
          <w:kern w:val="0"/>
          <w:sz w:val="32"/>
          <w:szCs w:val="24"/>
        </w:rPr>
        <w:t>“</w:t>
      </w:r>
      <w:r>
        <w:rPr>
          <w:rFonts w:hAnsi="Arial" w:eastAsia="楷体_GB2312"/>
          <w:kern w:val="0"/>
          <w:sz w:val="32"/>
          <w:szCs w:val="24"/>
        </w:rPr>
        <w:t>十四五</w:t>
      </w:r>
      <w:r>
        <w:rPr>
          <w:rFonts w:eastAsia="楷体_GB2312"/>
          <w:kern w:val="0"/>
          <w:sz w:val="32"/>
          <w:szCs w:val="24"/>
        </w:rPr>
        <w:t>”</w:t>
      </w:r>
      <w:r>
        <w:rPr>
          <w:rFonts w:hAnsi="Arial" w:eastAsia="楷体_GB2312"/>
          <w:kern w:val="0"/>
          <w:sz w:val="32"/>
          <w:szCs w:val="24"/>
        </w:rPr>
        <w:t>面临形势</w:t>
      </w:r>
      <w:bookmarkEnd w:id="8"/>
      <w:bookmarkEnd w:id="9"/>
      <w:bookmarkEnd w:id="10"/>
    </w:p>
    <w:p>
      <w:pPr>
        <w:spacing w:line="580" w:lineRule="exact"/>
        <w:ind w:firstLine="640"/>
        <w:rPr>
          <w:rFonts w:eastAsia="仿宋_GB2312"/>
          <w:bCs/>
          <w:sz w:val="32"/>
          <w:szCs w:val="32"/>
        </w:rPr>
      </w:pPr>
      <w:r>
        <w:rPr>
          <w:rFonts w:eastAsia="仿宋_GB2312"/>
          <w:bCs/>
          <w:sz w:val="32"/>
          <w:szCs w:val="32"/>
        </w:rPr>
        <w:t>“十四五”时期，国际环境和国内条件都发生了深刻复杂变化，服务业发展面临新的机遇与挑战，但总体上仍处于战略机遇期。</w:t>
      </w:r>
    </w:p>
    <w:p>
      <w:pPr>
        <w:spacing w:line="580" w:lineRule="exact"/>
        <w:ind w:firstLine="640"/>
        <w:rPr>
          <w:rFonts w:eastAsia="仿宋_GB2312"/>
          <w:bCs/>
          <w:sz w:val="32"/>
          <w:szCs w:val="32"/>
        </w:rPr>
      </w:pPr>
      <w:r>
        <w:rPr>
          <w:rFonts w:eastAsia="楷体_GB2312"/>
          <w:bCs/>
          <w:kern w:val="0"/>
          <w:sz w:val="32"/>
          <w:szCs w:val="32"/>
        </w:rPr>
        <w:t>全球经济贸易格局深度调整，服务业发展面临新环境。</w:t>
      </w:r>
      <w:r>
        <w:rPr>
          <w:rFonts w:eastAsia="仿宋_GB2312"/>
          <w:bCs/>
          <w:sz w:val="32"/>
          <w:szCs w:val="32"/>
        </w:rPr>
        <w:t xml:space="preserve">从全球范围看，服务业已成为国际产业投资热点。跨国公司在全球范围内整合各类资源要素，带动全球服务投资贸易快速增长，服务贸易占全球贸易比重正逐步上升，新兴经济体服务业发展面临重大机遇。同时，国际经贸规则体系加速演变，大国博弈更加激烈，新冠肺炎疫情影响广泛深远，经济全球化遭遇逆流，信息服务业、高技术研发等高端服务业经贸往来受到限制，服务业发展正处在激烈的利益折冲和变化之中，国际竞争与合作更趋复杂，服务业面临市场开放和适应新规则的双重契机。 </w:t>
      </w:r>
    </w:p>
    <w:p>
      <w:pPr>
        <w:spacing w:line="580" w:lineRule="exact"/>
        <w:ind w:firstLine="640"/>
        <w:rPr>
          <w:rFonts w:eastAsia="仿宋_GB2312"/>
          <w:bCs/>
          <w:sz w:val="32"/>
          <w:szCs w:val="32"/>
        </w:rPr>
      </w:pPr>
      <w:r>
        <w:rPr>
          <w:rFonts w:eastAsia="楷体_GB2312"/>
          <w:bCs/>
          <w:kern w:val="0"/>
          <w:sz w:val="32"/>
          <w:szCs w:val="32"/>
        </w:rPr>
        <w:t>我国经济社会发展进入新时代，服务业发展需要新作为。</w:t>
      </w:r>
      <w:r>
        <w:rPr>
          <w:rFonts w:eastAsia="仿宋_GB2312"/>
          <w:bCs/>
          <w:sz w:val="32"/>
          <w:szCs w:val="32"/>
        </w:rPr>
        <w:t>“十四五”是我国全面建成小康社会，开启全面建设社会主义现代化国家新征程的关键时期，加快建设现代化经济体系，加快构建以国内大循环为主体、国内国际双循环相互促进的新发展格局，赋予服务业新的历史使命。随着颠覆性技术的应用和商业模式的创新，智能经济、数字经济、共享经济和体验经济等经济形态成为新的发展热点，服务业发展逻辑迎来深刻变革。运用现代信息技术等科技手段为传统服务业赋能，加快培育具有高成长性、带动力强的新经济企业，构建产业互联网平台，加强服务业领域制度供给创新，打造产业创新生态，成为发展现代服务业的重要抓手。</w:t>
      </w:r>
    </w:p>
    <w:p>
      <w:pPr>
        <w:spacing w:line="580" w:lineRule="exact"/>
        <w:ind w:firstLine="640"/>
        <w:rPr>
          <w:rFonts w:eastAsia="仿宋_GB2312"/>
          <w:b/>
          <w:color w:val="000000"/>
          <w:sz w:val="32"/>
          <w:szCs w:val="32"/>
        </w:rPr>
      </w:pPr>
      <w:r>
        <w:rPr>
          <w:rFonts w:eastAsia="楷体_GB2312"/>
          <w:bCs/>
          <w:kern w:val="0"/>
          <w:sz w:val="32"/>
          <w:szCs w:val="32"/>
        </w:rPr>
        <w:t>我市进入高质量发展新阶段，服务业发展迎来新机遇。</w:t>
      </w:r>
      <w:r>
        <w:rPr>
          <w:rFonts w:eastAsia="仿宋_GB2312"/>
          <w:bCs/>
          <w:sz w:val="32"/>
          <w:szCs w:val="32"/>
        </w:rPr>
        <w:t>“十四五”时期，天津加快实施制造业立市发展战略，将基本实现“一基地三区”功能定位，初步建成国际消费中心城市、区域商贸中心城市，推动形成滨城、津城双城发展格局，这为服务业发展提供了难得的机遇。我市必须顺应服务业发展大势和城市功能定位，加快提高服务业发展层级和水平，不断提升服务业核心竞争力和影响力，打造“天津服务”新名片。</w:t>
      </w:r>
    </w:p>
    <w:p>
      <w:pPr>
        <w:keepNext/>
        <w:keepLines/>
        <w:numPr>
          <w:ilvl w:val="0"/>
          <w:numId w:val="1"/>
        </w:numPr>
        <w:spacing w:line="580" w:lineRule="exact"/>
        <w:ind w:firstLine="721"/>
        <w:outlineLvl w:val="0"/>
        <w:rPr>
          <w:rFonts w:eastAsia="黑体"/>
          <w:bCs/>
          <w:kern w:val="44"/>
          <w:sz w:val="32"/>
          <w:szCs w:val="44"/>
        </w:rPr>
      </w:pPr>
      <w:bookmarkStart w:id="11" w:name="_Toc615105810_WPSOffice_Level1"/>
      <w:bookmarkStart w:id="12" w:name="_Toc801690105"/>
      <w:bookmarkStart w:id="13" w:name="_Toc15110"/>
      <w:r>
        <w:rPr>
          <w:rFonts w:hAnsi="Calibri" w:eastAsia="黑体"/>
          <w:bCs/>
          <w:kern w:val="44"/>
          <w:sz w:val="32"/>
          <w:szCs w:val="44"/>
        </w:rPr>
        <w:t>指导思想与发展目标</w:t>
      </w:r>
      <w:bookmarkEnd w:id="11"/>
      <w:bookmarkEnd w:id="12"/>
      <w:bookmarkEnd w:id="13"/>
    </w:p>
    <w:p>
      <w:pPr>
        <w:keepNext/>
        <w:keepLines/>
        <w:spacing w:line="580" w:lineRule="exact"/>
        <w:ind w:firstLine="801"/>
        <w:outlineLvl w:val="1"/>
        <w:rPr>
          <w:rFonts w:eastAsia="楷体_GB2312"/>
          <w:kern w:val="0"/>
          <w:sz w:val="32"/>
          <w:szCs w:val="24"/>
        </w:rPr>
      </w:pPr>
      <w:bookmarkStart w:id="14" w:name="_Toc48658728"/>
      <w:bookmarkStart w:id="15" w:name="_Toc1476816876"/>
      <w:bookmarkStart w:id="16" w:name="_Toc1708920143_WPSOffice_Level2"/>
      <w:bookmarkStart w:id="17" w:name="_Toc31401"/>
      <w:r>
        <w:rPr>
          <w:rFonts w:hAnsi="Arial" w:eastAsia="楷体_GB2312"/>
          <w:kern w:val="0"/>
          <w:sz w:val="32"/>
          <w:szCs w:val="24"/>
        </w:rPr>
        <w:t>（一）指导思想</w:t>
      </w:r>
      <w:bookmarkEnd w:id="14"/>
      <w:bookmarkEnd w:id="15"/>
      <w:bookmarkEnd w:id="16"/>
      <w:bookmarkEnd w:id="17"/>
    </w:p>
    <w:p>
      <w:pPr>
        <w:adjustRightInd w:val="0"/>
        <w:snapToGrid w:val="0"/>
        <w:spacing w:line="580" w:lineRule="exact"/>
        <w:ind w:firstLine="640"/>
        <w:rPr>
          <w:rFonts w:eastAsia="仿宋_GB2312"/>
          <w:bCs/>
          <w:sz w:val="32"/>
          <w:szCs w:val="32"/>
        </w:rPr>
      </w:pPr>
      <w:r>
        <w:rPr>
          <w:rFonts w:eastAsia="仿宋_GB2312"/>
          <w:bCs/>
          <w:sz w:val="32"/>
          <w:szCs w:val="32"/>
        </w:rPr>
        <w:t>坚持以习近平新时代中国特色社会主义思想为指导，全面贯彻党的十九大和十九届二中、三中、四中、五中全会精神，深入贯彻落实习近平总书记对天津工作提出的“三个着力”重要要求和一系列重要指示批示精神，落实市委市政府工作要求，立足新发展阶段，贯彻新发展理念，构建新发展格局，按照基本实现“一基地三区”城市功能定位、打造国际消费中心城市和区域商贸中心城市、形成双城发展格局的总体要求，坚持转型升级传统服务业和培育壮大现代服务业并举，</w:t>
      </w:r>
      <w:r>
        <w:rPr>
          <w:rFonts w:hAnsi="Calibri" w:eastAsia="仿宋_GB2312"/>
          <w:sz w:val="32"/>
          <w:szCs w:val="32"/>
          <w:lang w:val="zh-CN"/>
        </w:rPr>
        <w:t>坚持数字技术创新驱动和应用场景牵引，</w:t>
      </w:r>
      <w:r>
        <w:rPr>
          <w:rFonts w:eastAsia="仿宋_GB2312"/>
          <w:bCs/>
          <w:sz w:val="32"/>
          <w:szCs w:val="32"/>
        </w:rPr>
        <w:t>推动生产性服务业向专业化和价值链高端延伸，推动生活性服务业向高品质和多样化升级，打响“天津服务”品牌，加快形成与现代化大都市地位相适应的服务经济体系，将天津打造成为支撑京津冀世界级城市群的服务经济中心城市。</w:t>
      </w:r>
    </w:p>
    <w:p>
      <w:pPr>
        <w:keepNext/>
        <w:keepLines/>
        <w:spacing w:line="580" w:lineRule="exact"/>
        <w:ind w:firstLine="801"/>
        <w:outlineLvl w:val="1"/>
        <w:rPr>
          <w:rFonts w:eastAsia="楷体_GB2312"/>
          <w:kern w:val="0"/>
          <w:sz w:val="32"/>
          <w:szCs w:val="24"/>
        </w:rPr>
      </w:pPr>
      <w:bookmarkStart w:id="18" w:name="_Toc318"/>
      <w:bookmarkStart w:id="19" w:name="_Toc1530121580_WPSOffice_Level2"/>
      <w:bookmarkStart w:id="20" w:name="_Toc1250681801"/>
      <w:r>
        <w:rPr>
          <w:rFonts w:hAnsi="Arial" w:eastAsia="楷体_GB2312"/>
          <w:kern w:val="0"/>
          <w:sz w:val="32"/>
          <w:szCs w:val="24"/>
        </w:rPr>
        <w:t>（二）</w:t>
      </w:r>
      <w:bookmarkEnd w:id="18"/>
      <w:r>
        <w:rPr>
          <w:rFonts w:hAnsi="Arial" w:eastAsia="楷体_GB2312"/>
          <w:kern w:val="0"/>
          <w:sz w:val="32"/>
          <w:szCs w:val="24"/>
        </w:rPr>
        <w:t>基本原则</w:t>
      </w:r>
      <w:bookmarkEnd w:id="19"/>
      <w:bookmarkEnd w:id="20"/>
    </w:p>
    <w:p>
      <w:pPr>
        <w:spacing w:line="580" w:lineRule="exact"/>
        <w:ind w:firstLine="640"/>
        <w:rPr>
          <w:rFonts w:eastAsia="仿宋_GB2312"/>
          <w:bCs/>
          <w:sz w:val="32"/>
          <w:szCs w:val="32"/>
        </w:rPr>
      </w:pPr>
      <w:r>
        <w:rPr>
          <w:rFonts w:eastAsia="仿宋_GB2312"/>
          <w:bCs/>
          <w:sz w:val="32"/>
          <w:szCs w:val="32"/>
        </w:rPr>
        <w:t>——</w:t>
      </w:r>
      <w:r>
        <w:rPr>
          <w:rFonts w:eastAsia="楷体_GB2312"/>
          <w:bCs/>
          <w:kern w:val="0"/>
          <w:sz w:val="32"/>
          <w:szCs w:val="32"/>
        </w:rPr>
        <w:t>坚持以人为本、人才为基。</w:t>
      </w:r>
      <w:r>
        <w:rPr>
          <w:rFonts w:eastAsia="仿宋_GB2312"/>
          <w:bCs/>
          <w:sz w:val="32"/>
          <w:szCs w:val="32"/>
        </w:rPr>
        <w:t>坚持以人民为中心的发展思想，补齐基本公共服务短板，强化产城融合和职住平衡，扩大现代服务业供给，提高服务效率和服务品质，更好满足多层次多样化需求。把人才作为核心资源，壮大多层次服务业人才队伍，促进人才要素流动，有力支撑服务业高质量发展。</w:t>
      </w:r>
    </w:p>
    <w:p>
      <w:pPr>
        <w:spacing w:line="580" w:lineRule="exact"/>
        <w:ind w:firstLine="643"/>
        <w:rPr>
          <w:rFonts w:eastAsia="仿宋_GB2312"/>
          <w:bCs/>
          <w:sz w:val="32"/>
          <w:szCs w:val="32"/>
        </w:rPr>
      </w:pPr>
      <w:r>
        <w:rPr>
          <w:rFonts w:eastAsia="仿宋_GB2312"/>
          <w:bCs/>
          <w:sz w:val="32"/>
          <w:szCs w:val="32"/>
        </w:rPr>
        <w:t>——</w:t>
      </w:r>
      <w:r>
        <w:rPr>
          <w:rFonts w:eastAsia="楷体_GB2312"/>
          <w:bCs/>
          <w:kern w:val="0"/>
          <w:sz w:val="32"/>
          <w:szCs w:val="32"/>
        </w:rPr>
        <w:t>坚持创新驱动、联动融合。</w:t>
      </w:r>
      <w:r>
        <w:rPr>
          <w:rFonts w:eastAsia="仿宋_GB2312"/>
          <w:bCs/>
          <w:sz w:val="32"/>
          <w:szCs w:val="32"/>
        </w:rPr>
        <w:t>坚持创新发展理念，运用互联网、大数据、人工智能等信息技术推动技术、管理、业态和商业模式创新，推进经济、生活、治理全面数字化转型，</w:t>
      </w:r>
      <w:r>
        <w:rPr>
          <w:rFonts w:eastAsia="仿宋_GB2312"/>
          <w:bCs/>
          <w:sz w:val="32"/>
          <w:szCs w:val="32"/>
          <w:lang w:val="zh-CN"/>
        </w:rPr>
        <w:t>提升数字服务业能级</w:t>
      </w:r>
      <w:r>
        <w:rPr>
          <w:rFonts w:eastAsia="仿宋_GB2312"/>
          <w:bCs/>
          <w:sz w:val="32"/>
          <w:szCs w:val="32"/>
        </w:rPr>
        <w:t>。促进服务业与一、二次产业以及服务业不同领域间的深度融合，鼓励服务型企业跨界融合发展，加快形成有利于现代化经济体系建设的服务能力和服务模式。</w:t>
      </w:r>
    </w:p>
    <w:p>
      <w:pPr>
        <w:spacing w:line="580" w:lineRule="exact"/>
        <w:ind w:firstLine="640"/>
        <w:rPr>
          <w:rFonts w:eastAsia="仿宋_GB2312"/>
          <w:bCs/>
          <w:sz w:val="32"/>
          <w:szCs w:val="32"/>
        </w:rPr>
      </w:pPr>
      <w:r>
        <w:rPr>
          <w:rFonts w:eastAsia="仿宋_GB2312"/>
          <w:bCs/>
          <w:sz w:val="32"/>
          <w:szCs w:val="32"/>
        </w:rPr>
        <w:t>——</w:t>
      </w:r>
      <w:r>
        <w:rPr>
          <w:rFonts w:eastAsia="楷体_GB2312"/>
          <w:bCs/>
          <w:kern w:val="0"/>
          <w:sz w:val="32"/>
          <w:szCs w:val="32"/>
        </w:rPr>
        <w:t>坚持市场导向、品牌为先。</w:t>
      </w:r>
      <w:r>
        <w:rPr>
          <w:rFonts w:eastAsia="仿宋_GB2312"/>
          <w:bCs/>
          <w:sz w:val="32"/>
          <w:szCs w:val="32"/>
        </w:rPr>
        <w:t>顺应产业变革和消费升级趋势，充分发挥市场配置资源的决定性作用，更好地发挥政府作用，在公平竞争中提升服务业竞争力。加强质量标准体系建设，健全服务质量标准治理和促进体系，全面提高服务业发展质量和效率，打响“天津服务”和“天津服务型制造”品牌。</w:t>
      </w:r>
    </w:p>
    <w:p>
      <w:pPr>
        <w:spacing w:line="580" w:lineRule="exact"/>
        <w:ind w:firstLine="643"/>
        <w:rPr>
          <w:rFonts w:eastAsia="仿宋_GB2312"/>
          <w:bCs/>
          <w:sz w:val="32"/>
          <w:szCs w:val="32"/>
        </w:rPr>
      </w:pPr>
      <w:r>
        <w:rPr>
          <w:rFonts w:eastAsia="仿宋_GB2312"/>
          <w:bCs/>
          <w:sz w:val="32"/>
          <w:szCs w:val="32"/>
        </w:rPr>
        <w:t>——</w:t>
      </w:r>
      <w:r>
        <w:rPr>
          <w:rFonts w:eastAsia="楷体_GB2312"/>
          <w:bCs/>
          <w:kern w:val="0"/>
          <w:sz w:val="32"/>
          <w:szCs w:val="32"/>
        </w:rPr>
        <w:t>坚持区域协同、开放合作。</w:t>
      </w:r>
      <w:r>
        <w:rPr>
          <w:rFonts w:eastAsia="仿宋_GB2312"/>
          <w:bCs/>
          <w:sz w:val="32"/>
          <w:szCs w:val="32"/>
        </w:rPr>
        <w:t>统筹全市服务业发展空间布局，加强服务业区域分工协作，增强城市综合服务功能。用好两个市场、两种资源，重点推进高端服务业和新兴服务业领域的多层次区域合作和国际合作，培育服务业竞争新优势，</w:t>
      </w:r>
      <w:r>
        <w:rPr>
          <w:rFonts w:eastAsia="仿宋_GB2312"/>
          <w:sz w:val="32"/>
          <w:szCs w:val="32"/>
        </w:rPr>
        <w:t>加快构建开放型经济新体制</w:t>
      </w:r>
      <w:r>
        <w:rPr>
          <w:rFonts w:eastAsia="仿宋_GB2312"/>
          <w:bCs/>
          <w:sz w:val="32"/>
          <w:szCs w:val="32"/>
        </w:rPr>
        <w:t>。</w:t>
      </w:r>
    </w:p>
    <w:p>
      <w:pPr>
        <w:spacing w:line="580" w:lineRule="exact"/>
        <w:ind w:firstLine="643"/>
        <w:rPr>
          <w:szCs w:val="24"/>
        </w:rPr>
      </w:pPr>
      <w:r>
        <w:rPr>
          <w:rFonts w:eastAsia="楷体_GB2312"/>
          <w:bCs/>
          <w:kern w:val="0"/>
          <w:sz w:val="32"/>
          <w:szCs w:val="32"/>
        </w:rPr>
        <w:t>——坚持低碳循环、绿色发展。</w:t>
      </w:r>
      <w:r>
        <w:rPr>
          <w:rFonts w:eastAsia="仿宋_GB2312"/>
          <w:bCs/>
          <w:sz w:val="32"/>
          <w:szCs w:val="32"/>
        </w:rPr>
        <w:t>践行习近平生态文明思想，深植绿色理念，落实“碳达峰、碳中和”目标要求，大力推广绿色生产方式和消费模式，完善绿色服务体系，推动制造业服务化，加快发展高附加值的生产性服务业，打造资源节约、环境友好型产业链，积极培育发展平台经济、共享经济等新经济业态，促进服务业集聚集约发展，提高服务业绿色发展水平。</w:t>
      </w:r>
    </w:p>
    <w:p>
      <w:pPr>
        <w:keepNext/>
        <w:keepLines/>
        <w:spacing w:line="580" w:lineRule="exact"/>
        <w:ind w:firstLine="801"/>
        <w:outlineLvl w:val="1"/>
        <w:rPr>
          <w:rFonts w:eastAsia="楷体_GB2312"/>
          <w:kern w:val="0"/>
          <w:sz w:val="32"/>
          <w:szCs w:val="24"/>
        </w:rPr>
      </w:pPr>
      <w:bookmarkStart w:id="21" w:name="_Toc12725"/>
      <w:bookmarkStart w:id="22" w:name="_Toc1722653156"/>
      <w:bookmarkStart w:id="23" w:name="_Toc1894868882_WPSOffice_Level2"/>
      <w:r>
        <w:rPr>
          <w:rFonts w:hAnsi="Arial" w:eastAsia="楷体_GB2312"/>
          <w:kern w:val="0"/>
          <w:sz w:val="32"/>
          <w:szCs w:val="24"/>
        </w:rPr>
        <w:t>（三）发展目标</w:t>
      </w:r>
      <w:bookmarkEnd w:id="21"/>
      <w:bookmarkEnd w:id="22"/>
      <w:bookmarkEnd w:id="23"/>
    </w:p>
    <w:p>
      <w:pPr>
        <w:adjustRightInd w:val="0"/>
        <w:snapToGrid w:val="0"/>
        <w:spacing w:line="580" w:lineRule="exact"/>
        <w:ind w:firstLine="640"/>
        <w:rPr>
          <w:rFonts w:eastAsia="仿宋_GB2312"/>
          <w:bCs/>
          <w:sz w:val="32"/>
          <w:szCs w:val="32"/>
        </w:rPr>
      </w:pPr>
      <w:r>
        <w:rPr>
          <w:rFonts w:eastAsia="仿宋_GB2312"/>
          <w:bCs/>
          <w:sz w:val="32"/>
          <w:szCs w:val="32"/>
        </w:rPr>
        <w:t>——</w:t>
      </w:r>
      <w:r>
        <w:rPr>
          <w:rFonts w:eastAsia="楷体_GB2312"/>
          <w:bCs/>
          <w:kern w:val="0"/>
          <w:sz w:val="32"/>
          <w:szCs w:val="32"/>
        </w:rPr>
        <w:t>规模实力迈上新台阶。</w:t>
      </w:r>
      <w:r>
        <w:rPr>
          <w:rFonts w:eastAsia="仿宋_GB2312"/>
          <w:bCs/>
          <w:sz w:val="32"/>
          <w:szCs w:val="32"/>
        </w:rPr>
        <w:t>服务业增加值规模持续扩大，服务业比重稳中有进，服务业经济主引擎地位不断增强，与现代化大都市地位相适应的服务经济体系更加完善。“十四五”期间，服务业增加值年均增速保持在6.5％左右，到2025年，占地区生产总值的比重达到6</w:t>
      </w:r>
      <w:r>
        <w:rPr>
          <w:rFonts w:eastAsia="仿宋_GB2312"/>
          <w:bCs/>
          <w:sz w:val="32"/>
          <w:szCs w:val="32"/>
          <w:lang w:val="en"/>
        </w:rPr>
        <w:t>5</w:t>
      </w:r>
      <w:r>
        <w:rPr>
          <w:rFonts w:eastAsia="仿宋_GB2312"/>
          <w:bCs/>
          <w:sz w:val="32"/>
          <w:szCs w:val="32"/>
        </w:rPr>
        <w:t>%左右。</w:t>
      </w:r>
    </w:p>
    <w:p>
      <w:pPr>
        <w:adjustRightInd w:val="0"/>
        <w:snapToGrid w:val="0"/>
        <w:spacing w:line="580" w:lineRule="exact"/>
        <w:ind w:firstLine="640"/>
        <w:rPr>
          <w:rFonts w:eastAsia="仿宋_GB2312"/>
          <w:bCs/>
          <w:sz w:val="32"/>
          <w:szCs w:val="32"/>
        </w:rPr>
      </w:pPr>
      <w:r>
        <w:rPr>
          <w:rFonts w:eastAsia="仿宋_GB2312"/>
          <w:bCs/>
          <w:sz w:val="32"/>
          <w:szCs w:val="32"/>
        </w:rPr>
        <w:t>——</w:t>
      </w:r>
      <w:r>
        <w:rPr>
          <w:rFonts w:eastAsia="楷体_GB2312"/>
          <w:bCs/>
          <w:kern w:val="0"/>
          <w:sz w:val="32"/>
          <w:szCs w:val="32"/>
        </w:rPr>
        <w:t>质量效益实现新提升。</w:t>
      </w:r>
      <w:r>
        <w:rPr>
          <w:rFonts w:eastAsia="仿宋_GB2312"/>
          <w:bCs/>
          <w:sz w:val="32"/>
          <w:szCs w:val="32"/>
        </w:rPr>
        <w:t>服务业新产业、新业态、新模式加快培育，就业吸纳能力持续加强。到</w:t>
      </w:r>
      <w:r>
        <w:rPr>
          <w:rFonts w:eastAsia="仿宋_GB2312"/>
          <w:sz w:val="32"/>
          <w:szCs w:val="32"/>
        </w:rPr>
        <w:t>2025</w:t>
      </w:r>
      <w:r>
        <w:rPr>
          <w:rFonts w:eastAsia="仿宋_GB2312"/>
          <w:bCs/>
          <w:sz w:val="32"/>
          <w:szCs w:val="32"/>
        </w:rPr>
        <w:t>年，高技术服务业及以互联网和相关服务业为代表的现代新兴服务业增加值占服务业增加值比重达到</w:t>
      </w:r>
      <w:r>
        <w:rPr>
          <w:rFonts w:eastAsia="仿宋_GB2312"/>
          <w:sz w:val="32"/>
          <w:szCs w:val="32"/>
        </w:rPr>
        <w:t>30％</w:t>
      </w:r>
      <w:r>
        <w:rPr>
          <w:rFonts w:eastAsia="仿宋_GB2312"/>
          <w:bCs/>
          <w:sz w:val="32"/>
          <w:szCs w:val="32"/>
        </w:rPr>
        <w:t>以上，服务业从业人员占全社会从业人员比重达到65％以上。</w:t>
      </w:r>
    </w:p>
    <w:p>
      <w:pPr>
        <w:adjustRightInd w:val="0"/>
        <w:snapToGrid w:val="0"/>
        <w:spacing w:line="580" w:lineRule="exact"/>
        <w:ind w:firstLine="640"/>
        <w:rPr>
          <w:rFonts w:eastAsia="仿宋_GB2312"/>
          <w:bCs/>
          <w:sz w:val="32"/>
          <w:szCs w:val="32"/>
        </w:rPr>
      </w:pPr>
      <w:r>
        <w:rPr>
          <w:rFonts w:eastAsia="仿宋_GB2312"/>
          <w:bCs/>
          <w:sz w:val="32"/>
          <w:szCs w:val="32"/>
        </w:rPr>
        <w:t>——</w:t>
      </w:r>
      <w:r>
        <w:rPr>
          <w:rFonts w:eastAsia="楷体_GB2312"/>
          <w:bCs/>
          <w:kern w:val="0"/>
          <w:sz w:val="32"/>
          <w:szCs w:val="32"/>
        </w:rPr>
        <w:t>结构层次得到新提高。</w:t>
      </w:r>
      <w:r>
        <w:rPr>
          <w:rFonts w:eastAsia="仿宋_GB2312"/>
          <w:bCs/>
          <w:sz w:val="32"/>
          <w:szCs w:val="32"/>
        </w:rPr>
        <w:t>服务业内部结构更加优化，生产性服务业效率和专业化水平显著提高，生活性服务业满足人民消费新需求能力显著增强。到</w:t>
      </w:r>
      <w:r>
        <w:rPr>
          <w:rFonts w:eastAsia="仿宋_GB2312"/>
          <w:sz w:val="32"/>
          <w:szCs w:val="32"/>
        </w:rPr>
        <w:t>2025</w:t>
      </w:r>
      <w:r>
        <w:rPr>
          <w:rFonts w:eastAsia="仿宋_GB2312"/>
          <w:bCs/>
          <w:sz w:val="32"/>
          <w:szCs w:val="32"/>
        </w:rPr>
        <w:t>年，生产性服务业增加值占服务业比重达到66%左右，社会消费品零售总额达到</w:t>
      </w:r>
      <w:r>
        <w:rPr>
          <w:rFonts w:eastAsia="仿宋_GB2312"/>
          <w:sz w:val="32"/>
          <w:szCs w:val="32"/>
        </w:rPr>
        <w:t>4500亿</w:t>
      </w:r>
      <w:r>
        <w:rPr>
          <w:rFonts w:eastAsia="仿宋_GB2312"/>
          <w:bCs/>
          <w:sz w:val="32"/>
          <w:szCs w:val="32"/>
        </w:rPr>
        <w:t>元以上。</w:t>
      </w:r>
    </w:p>
    <w:p>
      <w:pPr>
        <w:adjustRightInd w:val="0"/>
        <w:snapToGrid w:val="0"/>
        <w:spacing w:line="580" w:lineRule="exact"/>
        <w:ind w:firstLine="640"/>
        <w:rPr>
          <w:rFonts w:eastAsia="仿宋_GB2312"/>
          <w:bCs/>
          <w:sz w:val="32"/>
          <w:szCs w:val="32"/>
        </w:rPr>
      </w:pPr>
      <w:r>
        <w:rPr>
          <w:rFonts w:eastAsia="仿宋_GB2312"/>
          <w:bCs/>
          <w:sz w:val="32"/>
          <w:szCs w:val="32"/>
        </w:rPr>
        <w:t>——</w:t>
      </w:r>
      <w:r>
        <w:rPr>
          <w:rFonts w:eastAsia="楷体_GB2312"/>
          <w:bCs/>
          <w:kern w:val="0"/>
          <w:sz w:val="32"/>
          <w:szCs w:val="32"/>
        </w:rPr>
        <w:t>功能布局实现新优化。</w:t>
      </w:r>
      <w:r>
        <w:rPr>
          <w:rFonts w:eastAsia="仿宋_GB2312"/>
          <w:bCs/>
          <w:sz w:val="32"/>
          <w:szCs w:val="32"/>
        </w:rPr>
        <w:t>“津城”现代服务功能明显提升，形成若干现代服务业标志区。</w:t>
      </w:r>
      <w:r>
        <w:rPr>
          <w:rFonts w:eastAsia="仿宋_GB2312"/>
          <w:color w:val="000000"/>
          <w:sz w:val="32"/>
          <w:szCs w:val="32"/>
        </w:rPr>
        <w:t>“滨城”生产性服务业与先进制造业加速融合发展，生活性服务业短板加快补齐，城市综合服务功能显著提升。</w:t>
      </w:r>
      <w:r>
        <w:rPr>
          <w:rFonts w:eastAsia="仿宋_GB2312"/>
          <w:bCs/>
          <w:sz w:val="32"/>
          <w:szCs w:val="32"/>
        </w:rPr>
        <w:t>郊区服务业实现特色化、品质化发展，与中心城区差距逐步缩小。到</w:t>
      </w:r>
      <w:r>
        <w:rPr>
          <w:rFonts w:eastAsia="仿宋_GB2312"/>
          <w:sz w:val="32"/>
          <w:szCs w:val="32"/>
        </w:rPr>
        <w:t>2025年，基</w:t>
      </w:r>
      <w:r>
        <w:rPr>
          <w:rFonts w:eastAsia="仿宋_GB2312"/>
          <w:bCs/>
          <w:sz w:val="32"/>
          <w:szCs w:val="32"/>
        </w:rPr>
        <w:t xml:space="preserve">本建成“双城引领、一带协同、多点支撑”的空间发展新格局。 </w:t>
      </w:r>
    </w:p>
    <w:p>
      <w:pPr>
        <w:adjustRightInd w:val="0"/>
        <w:snapToGrid w:val="0"/>
        <w:spacing w:line="560" w:lineRule="exact"/>
        <w:ind w:firstLine="641"/>
        <w:rPr>
          <w:rFonts w:eastAsia="仿宋_GB2312"/>
          <w:sz w:val="32"/>
          <w:szCs w:val="32"/>
        </w:rPr>
      </w:pPr>
      <w:r>
        <w:rPr>
          <w:rFonts w:eastAsia="仿宋_GB2312"/>
          <w:bCs/>
          <w:sz w:val="32"/>
          <w:szCs w:val="32"/>
        </w:rPr>
        <w:t>——</w:t>
      </w:r>
      <w:r>
        <w:rPr>
          <w:rFonts w:eastAsia="楷体_GB2312"/>
          <w:bCs/>
          <w:kern w:val="0"/>
          <w:sz w:val="32"/>
          <w:szCs w:val="32"/>
        </w:rPr>
        <w:t>开放水平取得新突破。</w:t>
      </w:r>
      <w:r>
        <w:rPr>
          <w:rFonts w:eastAsia="仿宋_GB2312"/>
          <w:bCs/>
          <w:sz w:val="32"/>
          <w:szCs w:val="32"/>
        </w:rPr>
        <w:t>服务业对外开放领域和范围进一步扩大，服务业国际竞争力和合作水平明显提升，与国际先进经贸规则相衔接的国际化营商环境更加完善。到</w:t>
      </w:r>
      <w:r>
        <w:rPr>
          <w:rFonts w:eastAsia="仿宋_GB2312"/>
          <w:sz w:val="32"/>
          <w:szCs w:val="32"/>
        </w:rPr>
        <w:t>2025年</w:t>
      </w:r>
      <w:r>
        <w:rPr>
          <w:rFonts w:eastAsia="仿宋_GB2312"/>
          <w:bCs/>
          <w:sz w:val="32"/>
          <w:szCs w:val="32"/>
        </w:rPr>
        <w:t>，对外贸易进出口总额达到8500亿元</w:t>
      </w:r>
      <w:r>
        <w:rPr>
          <w:rFonts w:eastAsia="仿宋_GB2312"/>
          <w:sz w:val="32"/>
          <w:szCs w:val="32"/>
        </w:rPr>
        <w:t>。</w:t>
      </w:r>
    </w:p>
    <w:p>
      <w:pPr>
        <w:widowControl/>
        <w:spacing w:line="560" w:lineRule="exact"/>
        <w:jc w:val="center"/>
        <w:rPr>
          <w:b/>
          <w:bCs/>
          <w:sz w:val="32"/>
          <w:szCs w:val="32"/>
        </w:rPr>
      </w:pPr>
      <w:bookmarkStart w:id="24" w:name="_Toc2082914436_WPSOffice_Level2"/>
      <w:bookmarkStart w:id="25" w:name="_Toc993583491_WPSOffice_Level2"/>
      <w:bookmarkStart w:id="26" w:name="_Toc356844318_WPSOffice_Level2"/>
      <w:bookmarkStart w:id="27" w:name="_Toc21915"/>
      <w:bookmarkStart w:id="28" w:name="_Toc1655429802"/>
      <w:r>
        <w:rPr>
          <w:rFonts w:eastAsia="黑体"/>
          <w:sz w:val="32"/>
          <w:szCs w:val="32"/>
        </w:rPr>
        <w:t>“十四五”天津服务业发展目标表</w:t>
      </w:r>
      <w:bookmarkEnd w:id="24"/>
      <w:bookmarkEnd w:id="25"/>
      <w:bookmarkEnd w:id="26"/>
    </w:p>
    <w:tbl>
      <w:tblPr>
        <w:tblStyle w:val="2"/>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4914"/>
        <w:gridCol w:w="994"/>
        <w:gridCol w:w="1229"/>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91" w:type="dxa"/>
            <w:noWrap w:val="0"/>
            <w:vAlign w:val="center"/>
          </w:tcPr>
          <w:p>
            <w:pPr>
              <w:widowControl/>
              <w:spacing w:line="440" w:lineRule="exact"/>
              <w:jc w:val="center"/>
              <w:rPr>
                <w:rFonts w:eastAsia="黑体"/>
                <w:bCs/>
                <w:sz w:val="24"/>
                <w:szCs w:val="24"/>
              </w:rPr>
            </w:pPr>
            <w:r>
              <w:rPr>
                <w:rFonts w:eastAsia="黑体"/>
                <w:bCs/>
                <w:sz w:val="24"/>
                <w:szCs w:val="24"/>
              </w:rPr>
              <w:t>序号</w:t>
            </w:r>
          </w:p>
        </w:tc>
        <w:tc>
          <w:tcPr>
            <w:tcW w:w="4914" w:type="dxa"/>
            <w:noWrap w:val="0"/>
            <w:vAlign w:val="center"/>
          </w:tcPr>
          <w:p>
            <w:pPr>
              <w:widowControl/>
              <w:spacing w:line="440" w:lineRule="exact"/>
              <w:jc w:val="center"/>
              <w:rPr>
                <w:rFonts w:eastAsia="黑体"/>
                <w:bCs/>
                <w:sz w:val="24"/>
                <w:szCs w:val="24"/>
              </w:rPr>
            </w:pPr>
            <w:r>
              <w:rPr>
                <w:rFonts w:eastAsia="黑体"/>
                <w:bCs/>
                <w:sz w:val="24"/>
                <w:szCs w:val="24"/>
              </w:rPr>
              <w:t>指标</w:t>
            </w:r>
          </w:p>
        </w:tc>
        <w:tc>
          <w:tcPr>
            <w:tcW w:w="994" w:type="dxa"/>
            <w:noWrap w:val="0"/>
            <w:vAlign w:val="center"/>
          </w:tcPr>
          <w:p>
            <w:pPr>
              <w:widowControl/>
              <w:spacing w:line="440" w:lineRule="exact"/>
              <w:jc w:val="center"/>
              <w:rPr>
                <w:rFonts w:eastAsia="黑体"/>
                <w:bCs/>
                <w:sz w:val="24"/>
                <w:szCs w:val="24"/>
              </w:rPr>
            </w:pPr>
            <w:r>
              <w:rPr>
                <w:rFonts w:eastAsia="黑体"/>
                <w:bCs/>
                <w:sz w:val="24"/>
                <w:szCs w:val="24"/>
              </w:rPr>
              <w:t>2020年</w:t>
            </w:r>
          </w:p>
        </w:tc>
        <w:tc>
          <w:tcPr>
            <w:tcW w:w="1229" w:type="dxa"/>
            <w:noWrap w:val="0"/>
            <w:vAlign w:val="center"/>
          </w:tcPr>
          <w:p>
            <w:pPr>
              <w:widowControl/>
              <w:spacing w:line="440" w:lineRule="exact"/>
              <w:jc w:val="center"/>
              <w:rPr>
                <w:rFonts w:eastAsia="黑体"/>
                <w:bCs/>
                <w:sz w:val="24"/>
                <w:szCs w:val="24"/>
              </w:rPr>
            </w:pPr>
            <w:r>
              <w:rPr>
                <w:rFonts w:eastAsia="黑体"/>
                <w:bCs/>
                <w:sz w:val="24"/>
                <w:szCs w:val="24"/>
              </w:rPr>
              <w:t>2025年</w:t>
            </w:r>
          </w:p>
        </w:tc>
        <w:tc>
          <w:tcPr>
            <w:tcW w:w="1061" w:type="dxa"/>
            <w:noWrap w:val="0"/>
            <w:vAlign w:val="center"/>
          </w:tcPr>
          <w:p>
            <w:pPr>
              <w:widowControl/>
              <w:spacing w:line="440" w:lineRule="exact"/>
              <w:jc w:val="center"/>
              <w:rPr>
                <w:rFonts w:eastAsia="黑体"/>
                <w:bCs/>
                <w:sz w:val="24"/>
                <w:szCs w:val="24"/>
              </w:rPr>
            </w:pPr>
            <w:r>
              <w:rPr>
                <w:rFonts w:eastAsia="黑体"/>
                <w:bCs/>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noWrap w:val="0"/>
            <w:vAlign w:val="center"/>
          </w:tcPr>
          <w:p>
            <w:pPr>
              <w:widowControl/>
              <w:spacing w:line="440" w:lineRule="exact"/>
              <w:jc w:val="center"/>
              <w:rPr>
                <w:rFonts w:eastAsia="仿宋_GB2312"/>
                <w:sz w:val="24"/>
                <w:szCs w:val="24"/>
              </w:rPr>
            </w:pPr>
            <w:r>
              <w:rPr>
                <w:rFonts w:eastAsia="仿宋_GB2312"/>
                <w:sz w:val="24"/>
                <w:szCs w:val="24"/>
                <w:lang w:val="en"/>
              </w:rPr>
              <w:t>1</w:t>
            </w:r>
          </w:p>
        </w:tc>
        <w:tc>
          <w:tcPr>
            <w:tcW w:w="4914" w:type="dxa"/>
            <w:noWrap w:val="0"/>
            <w:vAlign w:val="center"/>
          </w:tcPr>
          <w:p>
            <w:pPr>
              <w:widowControl/>
              <w:spacing w:line="440" w:lineRule="exact"/>
              <w:jc w:val="left"/>
              <w:rPr>
                <w:rFonts w:eastAsia="仿宋_GB2312"/>
                <w:sz w:val="24"/>
                <w:szCs w:val="24"/>
              </w:rPr>
            </w:pPr>
            <w:r>
              <w:rPr>
                <w:rFonts w:eastAsia="仿宋_GB2312"/>
                <w:sz w:val="24"/>
                <w:szCs w:val="24"/>
              </w:rPr>
              <w:t>服务业增加值占GDP比重</w:t>
            </w:r>
            <w:r>
              <w:rPr>
                <w:rFonts w:eastAsia="仿宋_GB2312"/>
                <w:bCs/>
                <w:sz w:val="24"/>
                <w:szCs w:val="24"/>
              </w:rPr>
              <w:t>（%）</w:t>
            </w:r>
          </w:p>
        </w:tc>
        <w:tc>
          <w:tcPr>
            <w:tcW w:w="994" w:type="dxa"/>
            <w:noWrap w:val="0"/>
            <w:vAlign w:val="center"/>
          </w:tcPr>
          <w:p>
            <w:pPr>
              <w:widowControl/>
              <w:spacing w:line="440" w:lineRule="exact"/>
              <w:jc w:val="center"/>
              <w:rPr>
                <w:rFonts w:eastAsia="仿宋_GB2312"/>
                <w:sz w:val="24"/>
                <w:szCs w:val="24"/>
              </w:rPr>
            </w:pPr>
            <w:r>
              <w:rPr>
                <w:rFonts w:eastAsia="仿宋_GB2312"/>
                <w:sz w:val="24"/>
                <w:szCs w:val="24"/>
              </w:rPr>
              <w:t>64.4</w:t>
            </w:r>
          </w:p>
        </w:tc>
        <w:tc>
          <w:tcPr>
            <w:tcW w:w="1229" w:type="dxa"/>
            <w:noWrap w:val="0"/>
            <w:vAlign w:val="center"/>
          </w:tcPr>
          <w:p>
            <w:pPr>
              <w:widowControl/>
              <w:spacing w:line="440" w:lineRule="exact"/>
              <w:jc w:val="center"/>
              <w:rPr>
                <w:rFonts w:eastAsia="仿宋_GB2312"/>
                <w:sz w:val="24"/>
                <w:szCs w:val="24"/>
                <w:lang w:val="en"/>
              </w:rPr>
            </w:pPr>
            <w:r>
              <w:rPr>
                <w:rFonts w:eastAsia="仿宋_GB2312"/>
                <w:sz w:val="24"/>
                <w:szCs w:val="24"/>
              </w:rPr>
              <w:t>6</w:t>
            </w:r>
            <w:r>
              <w:rPr>
                <w:rFonts w:eastAsia="仿宋_GB2312"/>
                <w:sz w:val="24"/>
                <w:szCs w:val="24"/>
                <w:lang w:val="en"/>
              </w:rPr>
              <w:t>5左右</w:t>
            </w:r>
          </w:p>
        </w:tc>
        <w:tc>
          <w:tcPr>
            <w:tcW w:w="1061" w:type="dxa"/>
            <w:noWrap w:val="0"/>
            <w:vAlign w:val="center"/>
          </w:tcPr>
          <w:p>
            <w:pPr>
              <w:widowControl/>
              <w:spacing w:line="440" w:lineRule="exact"/>
              <w:jc w:val="center"/>
              <w:rPr>
                <w:rFonts w:eastAsia="仿宋_GB2312"/>
                <w:sz w:val="24"/>
                <w:szCs w:val="24"/>
              </w:rPr>
            </w:pPr>
            <w:r>
              <w:rPr>
                <w:rFonts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noWrap w:val="0"/>
            <w:vAlign w:val="center"/>
          </w:tcPr>
          <w:p>
            <w:pPr>
              <w:widowControl/>
              <w:spacing w:line="440" w:lineRule="exact"/>
              <w:jc w:val="center"/>
              <w:rPr>
                <w:rFonts w:eastAsia="仿宋_GB2312"/>
                <w:sz w:val="24"/>
                <w:szCs w:val="24"/>
                <w:lang w:val="en"/>
              </w:rPr>
            </w:pPr>
            <w:r>
              <w:rPr>
                <w:rFonts w:eastAsia="仿宋_GB2312"/>
                <w:sz w:val="24"/>
                <w:szCs w:val="24"/>
                <w:lang w:val="en"/>
              </w:rPr>
              <w:t>2</w:t>
            </w:r>
          </w:p>
        </w:tc>
        <w:tc>
          <w:tcPr>
            <w:tcW w:w="4914" w:type="dxa"/>
            <w:noWrap w:val="0"/>
            <w:vAlign w:val="center"/>
          </w:tcPr>
          <w:p>
            <w:pPr>
              <w:widowControl/>
              <w:spacing w:line="440" w:lineRule="exact"/>
              <w:jc w:val="left"/>
              <w:rPr>
                <w:rFonts w:eastAsia="仿宋_GB2312"/>
                <w:sz w:val="24"/>
                <w:szCs w:val="24"/>
              </w:rPr>
            </w:pPr>
            <w:r>
              <w:rPr>
                <w:rFonts w:eastAsia="仿宋_GB2312"/>
                <w:sz w:val="24"/>
                <w:szCs w:val="24"/>
              </w:rPr>
              <w:t>服务业增加值年均增速（%）</w:t>
            </w:r>
          </w:p>
        </w:tc>
        <w:tc>
          <w:tcPr>
            <w:tcW w:w="994" w:type="dxa"/>
            <w:noWrap w:val="0"/>
            <w:vAlign w:val="center"/>
          </w:tcPr>
          <w:p>
            <w:pPr>
              <w:widowControl/>
              <w:spacing w:line="440" w:lineRule="exact"/>
              <w:jc w:val="center"/>
              <w:rPr>
                <w:rFonts w:eastAsia="仿宋_GB2312"/>
                <w:sz w:val="24"/>
                <w:szCs w:val="24"/>
              </w:rPr>
            </w:pPr>
            <w:r>
              <w:rPr>
                <w:rFonts w:eastAsia="仿宋_GB2312"/>
                <w:sz w:val="24"/>
                <w:szCs w:val="24"/>
              </w:rPr>
              <w:t>〔5.1〕</w:t>
            </w:r>
          </w:p>
        </w:tc>
        <w:tc>
          <w:tcPr>
            <w:tcW w:w="1229" w:type="dxa"/>
            <w:noWrap w:val="0"/>
            <w:vAlign w:val="center"/>
          </w:tcPr>
          <w:p>
            <w:pPr>
              <w:widowControl/>
              <w:spacing w:line="440" w:lineRule="exact"/>
              <w:jc w:val="center"/>
              <w:rPr>
                <w:rFonts w:eastAsia="仿宋_GB2312"/>
                <w:sz w:val="24"/>
                <w:szCs w:val="24"/>
              </w:rPr>
            </w:pPr>
            <w:r>
              <w:rPr>
                <w:rFonts w:eastAsia="仿宋_GB2312"/>
                <w:sz w:val="24"/>
                <w:szCs w:val="24"/>
              </w:rPr>
              <w:t>〔6.5〕</w:t>
            </w:r>
          </w:p>
        </w:tc>
        <w:tc>
          <w:tcPr>
            <w:tcW w:w="1061" w:type="dxa"/>
            <w:noWrap w:val="0"/>
            <w:vAlign w:val="center"/>
          </w:tcPr>
          <w:p>
            <w:pPr>
              <w:widowControl/>
              <w:spacing w:line="440" w:lineRule="exact"/>
              <w:jc w:val="center"/>
              <w:rPr>
                <w:rFonts w:eastAsia="仿宋_GB2312"/>
                <w:sz w:val="24"/>
                <w:szCs w:val="24"/>
              </w:rPr>
            </w:pPr>
            <w:r>
              <w:rPr>
                <w:rFonts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noWrap w:val="0"/>
            <w:vAlign w:val="center"/>
          </w:tcPr>
          <w:p>
            <w:pPr>
              <w:widowControl/>
              <w:spacing w:line="440" w:lineRule="exact"/>
              <w:jc w:val="center"/>
              <w:rPr>
                <w:rFonts w:eastAsia="仿宋_GB2312"/>
                <w:sz w:val="24"/>
                <w:szCs w:val="24"/>
                <w:lang w:val="en"/>
              </w:rPr>
            </w:pPr>
            <w:r>
              <w:rPr>
                <w:rFonts w:eastAsia="仿宋_GB2312"/>
                <w:sz w:val="24"/>
                <w:szCs w:val="24"/>
              </w:rPr>
              <w:t>3</w:t>
            </w:r>
          </w:p>
        </w:tc>
        <w:tc>
          <w:tcPr>
            <w:tcW w:w="4914" w:type="dxa"/>
            <w:noWrap w:val="0"/>
            <w:vAlign w:val="center"/>
          </w:tcPr>
          <w:p>
            <w:pPr>
              <w:widowControl/>
              <w:spacing w:line="440" w:lineRule="exact"/>
              <w:jc w:val="left"/>
              <w:rPr>
                <w:rFonts w:eastAsia="仿宋_GB2312"/>
                <w:sz w:val="24"/>
                <w:szCs w:val="24"/>
              </w:rPr>
            </w:pPr>
            <w:r>
              <w:rPr>
                <w:rFonts w:eastAsia="仿宋_GB2312"/>
                <w:sz w:val="24"/>
                <w:szCs w:val="24"/>
              </w:rPr>
              <w:t>服务业从业人员占全社会从业人员比重（%）</w:t>
            </w:r>
          </w:p>
        </w:tc>
        <w:tc>
          <w:tcPr>
            <w:tcW w:w="994" w:type="dxa"/>
            <w:noWrap w:val="0"/>
            <w:vAlign w:val="center"/>
          </w:tcPr>
          <w:p>
            <w:pPr>
              <w:widowControl/>
              <w:spacing w:line="440" w:lineRule="exact"/>
              <w:jc w:val="center"/>
              <w:rPr>
                <w:rFonts w:eastAsia="仿宋_GB2312"/>
                <w:sz w:val="24"/>
                <w:szCs w:val="24"/>
              </w:rPr>
            </w:pPr>
            <w:r>
              <w:rPr>
                <w:rFonts w:eastAsia="汉仪方隶简"/>
                <w:sz w:val="24"/>
                <w:szCs w:val="24"/>
              </w:rPr>
              <w:t>-</w:t>
            </w:r>
          </w:p>
        </w:tc>
        <w:tc>
          <w:tcPr>
            <w:tcW w:w="1229" w:type="dxa"/>
            <w:noWrap w:val="0"/>
            <w:vAlign w:val="center"/>
          </w:tcPr>
          <w:p>
            <w:pPr>
              <w:widowControl/>
              <w:spacing w:line="440" w:lineRule="exact"/>
              <w:jc w:val="center"/>
              <w:rPr>
                <w:rFonts w:eastAsia="仿宋_GB2312"/>
                <w:sz w:val="24"/>
                <w:szCs w:val="24"/>
              </w:rPr>
            </w:pPr>
            <w:r>
              <w:rPr>
                <w:rFonts w:eastAsia="仿宋_GB2312"/>
                <w:sz w:val="24"/>
                <w:szCs w:val="24"/>
              </w:rPr>
              <w:t>65以上</w:t>
            </w:r>
          </w:p>
        </w:tc>
        <w:tc>
          <w:tcPr>
            <w:tcW w:w="1061" w:type="dxa"/>
            <w:noWrap w:val="0"/>
            <w:vAlign w:val="center"/>
          </w:tcPr>
          <w:p>
            <w:pPr>
              <w:widowControl/>
              <w:spacing w:line="440" w:lineRule="exact"/>
              <w:jc w:val="center"/>
              <w:rPr>
                <w:rFonts w:eastAsia="仿宋_GB2312"/>
                <w:sz w:val="24"/>
                <w:szCs w:val="24"/>
              </w:rPr>
            </w:pPr>
            <w:r>
              <w:rPr>
                <w:rFonts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noWrap w:val="0"/>
            <w:vAlign w:val="center"/>
          </w:tcPr>
          <w:p>
            <w:pPr>
              <w:widowControl/>
              <w:spacing w:line="440" w:lineRule="exact"/>
              <w:jc w:val="center"/>
              <w:rPr>
                <w:rFonts w:eastAsia="仿宋_GB2312"/>
                <w:sz w:val="24"/>
                <w:szCs w:val="24"/>
                <w:lang w:val="en"/>
              </w:rPr>
            </w:pPr>
            <w:r>
              <w:rPr>
                <w:rFonts w:eastAsia="仿宋_GB2312"/>
                <w:sz w:val="24"/>
                <w:szCs w:val="24"/>
              </w:rPr>
              <w:t>4</w:t>
            </w:r>
          </w:p>
        </w:tc>
        <w:tc>
          <w:tcPr>
            <w:tcW w:w="4914" w:type="dxa"/>
            <w:noWrap w:val="0"/>
            <w:vAlign w:val="center"/>
          </w:tcPr>
          <w:p>
            <w:pPr>
              <w:widowControl/>
              <w:spacing w:line="440" w:lineRule="exact"/>
              <w:jc w:val="left"/>
              <w:rPr>
                <w:rFonts w:eastAsia="仿宋_GB2312"/>
                <w:sz w:val="24"/>
                <w:szCs w:val="24"/>
              </w:rPr>
            </w:pPr>
            <w:r>
              <w:rPr>
                <w:rFonts w:eastAsia="仿宋_GB2312"/>
                <w:sz w:val="24"/>
                <w:szCs w:val="24"/>
              </w:rPr>
              <w:t>生产性服务业增加值占服务业比重（%）（注）</w:t>
            </w:r>
          </w:p>
        </w:tc>
        <w:tc>
          <w:tcPr>
            <w:tcW w:w="994" w:type="dxa"/>
            <w:noWrap w:val="0"/>
            <w:vAlign w:val="center"/>
          </w:tcPr>
          <w:p>
            <w:pPr>
              <w:widowControl/>
              <w:spacing w:line="440" w:lineRule="exact"/>
              <w:jc w:val="center"/>
              <w:rPr>
                <w:rFonts w:eastAsia="仿宋_GB2312"/>
                <w:sz w:val="24"/>
                <w:szCs w:val="24"/>
                <w:lang w:val="en"/>
              </w:rPr>
            </w:pPr>
            <w:r>
              <w:rPr>
                <w:rFonts w:eastAsia="仿宋_GB2312"/>
                <w:sz w:val="24"/>
                <w:szCs w:val="24"/>
                <w:lang w:val="en"/>
              </w:rPr>
              <w:t>63.4</w:t>
            </w:r>
          </w:p>
        </w:tc>
        <w:tc>
          <w:tcPr>
            <w:tcW w:w="1229" w:type="dxa"/>
            <w:noWrap w:val="0"/>
            <w:vAlign w:val="center"/>
          </w:tcPr>
          <w:p>
            <w:pPr>
              <w:widowControl/>
              <w:spacing w:line="440" w:lineRule="exact"/>
              <w:jc w:val="center"/>
              <w:rPr>
                <w:rFonts w:eastAsia="仿宋_GB2312"/>
                <w:sz w:val="24"/>
                <w:szCs w:val="24"/>
                <w:lang w:val="en"/>
              </w:rPr>
            </w:pPr>
            <w:r>
              <w:rPr>
                <w:rFonts w:eastAsia="仿宋_GB2312"/>
                <w:sz w:val="24"/>
                <w:szCs w:val="24"/>
                <w:lang w:val="en"/>
              </w:rPr>
              <w:t>66左右</w:t>
            </w:r>
          </w:p>
        </w:tc>
        <w:tc>
          <w:tcPr>
            <w:tcW w:w="1061" w:type="dxa"/>
            <w:noWrap w:val="0"/>
            <w:vAlign w:val="center"/>
          </w:tcPr>
          <w:p>
            <w:pPr>
              <w:widowControl/>
              <w:spacing w:line="440" w:lineRule="exact"/>
              <w:jc w:val="center"/>
              <w:rPr>
                <w:rFonts w:eastAsia="仿宋_GB2312"/>
                <w:sz w:val="24"/>
                <w:szCs w:val="24"/>
                <w:lang w:val="en"/>
              </w:rPr>
            </w:pPr>
            <w:r>
              <w:rPr>
                <w:rFonts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noWrap w:val="0"/>
            <w:vAlign w:val="center"/>
          </w:tcPr>
          <w:p>
            <w:pPr>
              <w:widowControl/>
              <w:spacing w:line="440" w:lineRule="exact"/>
              <w:jc w:val="center"/>
              <w:rPr>
                <w:rFonts w:eastAsia="仿宋_GB2312"/>
                <w:sz w:val="24"/>
                <w:szCs w:val="24"/>
                <w:lang w:val="en"/>
              </w:rPr>
            </w:pPr>
            <w:r>
              <w:rPr>
                <w:rFonts w:eastAsia="仿宋_GB2312"/>
                <w:sz w:val="24"/>
                <w:szCs w:val="24"/>
              </w:rPr>
              <w:t>5</w:t>
            </w:r>
          </w:p>
        </w:tc>
        <w:tc>
          <w:tcPr>
            <w:tcW w:w="4914" w:type="dxa"/>
            <w:noWrap w:val="0"/>
            <w:vAlign w:val="center"/>
          </w:tcPr>
          <w:p>
            <w:pPr>
              <w:widowControl/>
              <w:spacing w:line="440" w:lineRule="exact"/>
              <w:jc w:val="left"/>
              <w:rPr>
                <w:rFonts w:eastAsia="仿宋_GB2312"/>
                <w:sz w:val="24"/>
                <w:szCs w:val="24"/>
              </w:rPr>
            </w:pPr>
            <w:r>
              <w:rPr>
                <w:rFonts w:eastAsia="仿宋_GB2312"/>
                <w:bCs/>
                <w:sz w:val="24"/>
                <w:szCs w:val="24"/>
              </w:rPr>
              <w:t>高技术服务业增加值及以互联网和相关服务业为代表的现代新兴服务业增加值占全市服务业增加值比重（%）</w:t>
            </w:r>
          </w:p>
        </w:tc>
        <w:tc>
          <w:tcPr>
            <w:tcW w:w="994" w:type="dxa"/>
            <w:noWrap w:val="0"/>
            <w:vAlign w:val="center"/>
          </w:tcPr>
          <w:p>
            <w:pPr>
              <w:widowControl/>
              <w:spacing w:line="440" w:lineRule="exact"/>
              <w:jc w:val="center"/>
              <w:rPr>
                <w:rFonts w:eastAsia="仿宋_GB2312"/>
                <w:sz w:val="24"/>
                <w:szCs w:val="24"/>
              </w:rPr>
            </w:pPr>
            <w:r>
              <w:rPr>
                <w:rFonts w:eastAsia="仿宋_GB2312"/>
                <w:sz w:val="24"/>
                <w:szCs w:val="24"/>
              </w:rPr>
              <w:t>18.5</w:t>
            </w:r>
          </w:p>
        </w:tc>
        <w:tc>
          <w:tcPr>
            <w:tcW w:w="1229" w:type="dxa"/>
            <w:noWrap w:val="0"/>
            <w:vAlign w:val="center"/>
          </w:tcPr>
          <w:p>
            <w:pPr>
              <w:widowControl/>
              <w:spacing w:line="440" w:lineRule="exact"/>
              <w:jc w:val="center"/>
              <w:rPr>
                <w:rFonts w:eastAsia="仿宋_GB2312"/>
                <w:sz w:val="24"/>
                <w:szCs w:val="24"/>
              </w:rPr>
            </w:pPr>
            <w:r>
              <w:rPr>
                <w:rFonts w:eastAsia="仿宋_GB2312"/>
                <w:sz w:val="24"/>
                <w:szCs w:val="24"/>
              </w:rPr>
              <w:t>30以上</w:t>
            </w:r>
          </w:p>
        </w:tc>
        <w:tc>
          <w:tcPr>
            <w:tcW w:w="1061" w:type="dxa"/>
            <w:noWrap w:val="0"/>
            <w:vAlign w:val="center"/>
          </w:tcPr>
          <w:p>
            <w:pPr>
              <w:widowControl/>
              <w:spacing w:line="440" w:lineRule="exact"/>
              <w:jc w:val="center"/>
              <w:rPr>
                <w:rFonts w:eastAsia="仿宋_GB2312"/>
                <w:sz w:val="24"/>
                <w:szCs w:val="24"/>
              </w:rPr>
            </w:pPr>
            <w:r>
              <w:rPr>
                <w:rFonts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91" w:type="dxa"/>
            <w:noWrap w:val="0"/>
            <w:vAlign w:val="center"/>
          </w:tcPr>
          <w:p>
            <w:pPr>
              <w:widowControl/>
              <w:spacing w:line="440" w:lineRule="exact"/>
              <w:jc w:val="center"/>
              <w:rPr>
                <w:rFonts w:eastAsia="仿宋_GB2312"/>
                <w:sz w:val="24"/>
                <w:szCs w:val="24"/>
                <w:lang w:val="en"/>
              </w:rPr>
            </w:pPr>
            <w:r>
              <w:rPr>
                <w:rFonts w:eastAsia="仿宋_GB2312"/>
                <w:sz w:val="24"/>
                <w:szCs w:val="24"/>
              </w:rPr>
              <w:t>6</w:t>
            </w:r>
          </w:p>
        </w:tc>
        <w:tc>
          <w:tcPr>
            <w:tcW w:w="4914" w:type="dxa"/>
            <w:noWrap w:val="0"/>
            <w:vAlign w:val="center"/>
          </w:tcPr>
          <w:p>
            <w:pPr>
              <w:widowControl/>
              <w:spacing w:line="440" w:lineRule="exact"/>
              <w:jc w:val="left"/>
              <w:rPr>
                <w:rFonts w:eastAsia="仿宋_GB2312"/>
                <w:bCs/>
                <w:sz w:val="24"/>
                <w:szCs w:val="24"/>
              </w:rPr>
            </w:pPr>
            <w:r>
              <w:rPr>
                <w:rFonts w:eastAsia="仿宋_GB2312"/>
                <w:sz w:val="24"/>
                <w:szCs w:val="24"/>
              </w:rPr>
              <w:t>社会消费品零售总额（亿元）</w:t>
            </w:r>
          </w:p>
        </w:tc>
        <w:tc>
          <w:tcPr>
            <w:tcW w:w="994" w:type="dxa"/>
            <w:noWrap w:val="0"/>
            <w:vAlign w:val="center"/>
          </w:tcPr>
          <w:p>
            <w:pPr>
              <w:widowControl/>
              <w:spacing w:line="440" w:lineRule="exact"/>
              <w:jc w:val="center"/>
              <w:rPr>
                <w:rFonts w:eastAsia="仿宋_GB2312"/>
                <w:sz w:val="24"/>
                <w:szCs w:val="24"/>
              </w:rPr>
            </w:pPr>
            <w:r>
              <w:rPr>
                <w:rFonts w:eastAsia="仿宋_GB2312"/>
                <w:sz w:val="24"/>
                <w:szCs w:val="24"/>
              </w:rPr>
              <w:t>3582.9</w:t>
            </w:r>
          </w:p>
        </w:tc>
        <w:tc>
          <w:tcPr>
            <w:tcW w:w="1229" w:type="dxa"/>
            <w:noWrap w:val="0"/>
            <w:vAlign w:val="center"/>
          </w:tcPr>
          <w:p>
            <w:pPr>
              <w:widowControl/>
              <w:spacing w:line="440" w:lineRule="exact"/>
              <w:jc w:val="center"/>
              <w:rPr>
                <w:rFonts w:eastAsia="仿宋_GB2312"/>
                <w:sz w:val="24"/>
                <w:szCs w:val="24"/>
              </w:rPr>
            </w:pPr>
            <w:r>
              <w:rPr>
                <w:rFonts w:eastAsia="仿宋_GB2312"/>
                <w:sz w:val="24"/>
                <w:szCs w:val="24"/>
              </w:rPr>
              <w:t>4500以上</w:t>
            </w:r>
          </w:p>
        </w:tc>
        <w:tc>
          <w:tcPr>
            <w:tcW w:w="1061" w:type="dxa"/>
            <w:noWrap w:val="0"/>
            <w:vAlign w:val="center"/>
          </w:tcPr>
          <w:p>
            <w:pPr>
              <w:widowControl/>
              <w:spacing w:line="440" w:lineRule="exact"/>
              <w:jc w:val="center"/>
              <w:rPr>
                <w:rFonts w:eastAsia="仿宋_GB2312"/>
                <w:sz w:val="24"/>
                <w:szCs w:val="24"/>
              </w:rPr>
            </w:pPr>
            <w:r>
              <w:rPr>
                <w:rFonts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noWrap w:val="0"/>
            <w:vAlign w:val="center"/>
          </w:tcPr>
          <w:p>
            <w:pPr>
              <w:widowControl/>
              <w:spacing w:line="440" w:lineRule="exact"/>
              <w:jc w:val="center"/>
              <w:rPr>
                <w:rFonts w:eastAsia="仿宋_GB2312"/>
                <w:sz w:val="24"/>
                <w:szCs w:val="24"/>
                <w:lang w:val="en"/>
              </w:rPr>
            </w:pPr>
            <w:r>
              <w:rPr>
                <w:rFonts w:eastAsia="仿宋_GB2312"/>
                <w:sz w:val="24"/>
                <w:szCs w:val="24"/>
              </w:rPr>
              <w:t>7</w:t>
            </w:r>
          </w:p>
        </w:tc>
        <w:tc>
          <w:tcPr>
            <w:tcW w:w="4914" w:type="dxa"/>
            <w:noWrap w:val="0"/>
            <w:vAlign w:val="center"/>
          </w:tcPr>
          <w:p>
            <w:pPr>
              <w:widowControl/>
              <w:spacing w:line="440" w:lineRule="exact"/>
              <w:jc w:val="left"/>
              <w:rPr>
                <w:rFonts w:eastAsia="仿宋_GB2312"/>
                <w:sz w:val="24"/>
                <w:szCs w:val="24"/>
                <w:lang w:val="en"/>
              </w:rPr>
            </w:pPr>
            <w:r>
              <w:rPr>
                <w:rFonts w:eastAsia="仿宋_GB2312"/>
                <w:sz w:val="24"/>
                <w:szCs w:val="24"/>
              </w:rPr>
              <w:t>服务业市场主体数量（万户）</w:t>
            </w:r>
          </w:p>
        </w:tc>
        <w:tc>
          <w:tcPr>
            <w:tcW w:w="994" w:type="dxa"/>
            <w:noWrap w:val="0"/>
            <w:vAlign w:val="center"/>
          </w:tcPr>
          <w:p>
            <w:pPr>
              <w:widowControl/>
              <w:spacing w:line="440" w:lineRule="exact"/>
              <w:jc w:val="center"/>
              <w:rPr>
                <w:rFonts w:eastAsia="仿宋_GB2312"/>
                <w:sz w:val="24"/>
                <w:szCs w:val="24"/>
                <w:lang w:val="en"/>
              </w:rPr>
            </w:pPr>
            <w:r>
              <w:rPr>
                <w:rFonts w:eastAsia="仿宋_GB2312"/>
                <w:sz w:val="24"/>
                <w:szCs w:val="24"/>
                <w:lang w:val="en"/>
              </w:rPr>
              <w:t>118.6</w:t>
            </w:r>
          </w:p>
        </w:tc>
        <w:tc>
          <w:tcPr>
            <w:tcW w:w="1229" w:type="dxa"/>
            <w:noWrap w:val="0"/>
            <w:vAlign w:val="center"/>
          </w:tcPr>
          <w:p>
            <w:pPr>
              <w:widowControl/>
              <w:spacing w:line="440" w:lineRule="exact"/>
              <w:jc w:val="center"/>
              <w:rPr>
                <w:rFonts w:eastAsia="仿宋_GB2312"/>
                <w:sz w:val="24"/>
                <w:szCs w:val="24"/>
                <w:lang w:val="en"/>
              </w:rPr>
            </w:pPr>
            <w:r>
              <w:rPr>
                <w:rFonts w:eastAsia="仿宋_GB2312"/>
                <w:sz w:val="24"/>
                <w:szCs w:val="24"/>
                <w:lang w:val="en"/>
              </w:rPr>
              <w:t>175</w:t>
            </w:r>
          </w:p>
        </w:tc>
        <w:tc>
          <w:tcPr>
            <w:tcW w:w="1061" w:type="dxa"/>
            <w:noWrap w:val="0"/>
            <w:vAlign w:val="center"/>
          </w:tcPr>
          <w:p>
            <w:pPr>
              <w:widowControl/>
              <w:spacing w:line="440" w:lineRule="exact"/>
              <w:jc w:val="center"/>
              <w:rPr>
                <w:rFonts w:eastAsia="仿宋_GB2312"/>
                <w:sz w:val="24"/>
                <w:szCs w:val="24"/>
                <w:lang w:val="en"/>
              </w:rPr>
            </w:pPr>
            <w:r>
              <w:rPr>
                <w:rFonts w:eastAsia="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noWrap w:val="0"/>
            <w:vAlign w:val="center"/>
          </w:tcPr>
          <w:p>
            <w:pPr>
              <w:widowControl/>
              <w:spacing w:line="440" w:lineRule="exact"/>
              <w:jc w:val="center"/>
              <w:rPr>
                <w:rFonts w:eastAsia="仿宋_GB2312"/>
                <w:sz w:val="24"/>
                <w:szCs w:val="24"/>
                <w:lang w:val="en"/>
              </w:rPr>
            </w:pPr>
            <w:r>
              <w:rPr>
                <w:rFonts w:eastAsia="仿宋_GB2312"/>
                <w:sz w:val="24"/>
                <w:szCs w:val="24"/>
              </w:rPr>
              <w:t>8</w:t>
            </w:r>
          </w:p>
        </w:tc>
        <w:tc>
          <w:tcPr>
            <w:tcW w:w="4914" w:type="dxa"/>
            <w:noWrap w:val="0"/>
            <w:vAlign w:val="center"/>
          </w:tcPr>
          <w:p>
            <w:pPr>
              <w:widowControl/>
              <w:spacing w:line="440" w:lineRule="exact"/>
              <w:jc w:val="left"/>
              <w:rPr>
                <w:rFonts w:eastAsia="仿宋_GB2312"/>
                <w:sz w:val="24"/>
                <w:szCs w:val="24"/>
              </w:rPr>
            </w:pPr>
            <w:r>
              <w:rPr>
                <w:rFonts w:eastAsia="仿宋_GB2312"/>
                <w:sz w:val="24"/>
                <w:szCs w:val="24"/>
              </w:rPr>
              <w:t>对外贸易进出口总额（亿元）</w:t>
            </w:r>
          </w:p>
        </w:tc>
        <w:tc>
          <w:tcPr>
            <w:tcW w:w="994" w:type="dxa"/>
            <w:noWrap w:val="0"/>
            <w:vAlign w:val="center"/>
          </w:tcPr>
          <w:p>
            <w:pPr>
              <w:widowControl/>
              <w:spacing w:line="440" w:lineRule="exact"/>
              <w:jc w:val="center"/>
              <w:rPr>
                <w:rFonts w:eastAsia="仿宋_GB2312"/>
                <w:sz w:val="24"/>
                <w:szCs w:val="24"/>
              </w:rPr>
            </w:pPr>
            <w:r>
              <w:rPr>
                <w:rFonts w:eastAsia="仿宋_GB2312"/>
                <w:sz w:val="24"/>
                <w:szCs w:val="24"/>
              </w:rPr>
              <w:t>7340.7</w:t>
            </w:r>
          </w:p>
        </w:tc>
        <w:tc>
          <w:tcPr>
            <w:tcW w:w="1229" w:type="dxa"/>
            <w:noWrap w:val="0"/>
            <w:vAlign w:val="center"/>
          </w:tcPr>
          <w:p>
            <w:pPr>
              <w:widowControl/>
              <w:spacing w:line="440" w:lineRule="exact"/>
              <w:jc w:val="center"/>
              <w:rPr>
                <w:rFonts w:eastAsia="仿宋_GB2312"/>
                <w:sz w:val="24"/>
                <w:szCs w:val="24"/>
              </w:rPr>
            </w:pPr>
            <w:r>
              <w:rPr>
                <w:rFonts w:eastAsia="仿宋_GB2312"/>
                <w:sz w:val="24"/>
                <w:szCs w:val="24"/>
              </w:rPr>
              <w:t>8500</w:t>
            </w:r>
          </w:p>
        </w:tc>
        <w:tc>
          <w:tcPr>
            <w:tcW w:w="1061" w:type="dxa"/>
            <w:noWrap w:val="0"/>
            <w:vAlign w:val="center"/>
          </w:tcPr>
          <w:p>
            <w:pPr>
              <w:widowControl/>
              <w:spacing w:line="440" w:lineRule="exact"/>
              <w:jc w:val="center"/>
              <w:rPr>
                <w:rFonts w:eastAsia="仿宋_GB2312"/>
                <w:sz w:val="24"/>
                <w:szCs w:val="24"/>
              </w:rPr>
            </w:pPr>
            <w:r>
              <w:rPr>
                <w:rFonts w:eastAsia="仿宋_GB2312"/>
                <w:sz w:val="24"/>
                <w:szCs w:val="24"/>
              </w:rPr>
              <w:t>预期性</w:t>
            </w:r>
          </w:p>
        </w:tc>
      </w:tr>
    </w:tbl>
    <w:p>
      <w:pPr>
        <w:spacing w:line="280" w:lineRule="exact"/>
        <w:rPr>
          <w:szCs w:val="24"/>
        </w:rPr>
      </w:pPr>
      <w:r>
        <w:rPr>
          <w:szCs w:val="24"/>
        </w:rPr>
        <w:t>注：1.我市统计部门未正式公布过生产性服务业增加值，此处以交通运输、仓储和邮政业，批发和零售业，金融业，租赁和商务服务业，科学研究和技术服务业，信息传输、软件和信息技术服务业6大行业门类的增加值之和近似代替生产性服务业的增加值。2.〔〕里数值是指“十三五”和“十四五”年均增速。</w:t>
      </w:r>
      <w:bookmarkStart w:id="29" w:name="_Toc437931303_WPSOffice_Level1"/>
    </w:p>
    <w:p>
      <w:pPr>
        <w:keepNext/>
        <w:keepLines/>
        <w:numPr>
          <w:ilvl w:val="0"/>
          <w:numId w:val="1"/>
        </w:numPr>
        <w:spacing w:line="560" w:lineRule="exact"/>
        <w:ind w:firstLine="721"/>
        <w:outlineLvl w:val="0"/>
        <w:rPr>
          <w:rFonts w:eastAsia="黑体"/>
          <w:bCs/>
          <w:kern w:val="44"/>
          <w:sz w:val="32"/>
          <w:szCs w:val="44"/>
        </w:rPr>
      </w:pPr>
      <w:r>
        <w:rPr>
          <w:rFonts w:hAnsi="Calibri" w:eastAsia="黑体"/>
          <w:bCs/>
          <w:kern w:val="44"/>
          <w:sz w:val="32"/>
          <w:szCs w:val="44"/>
        </w:rPr>
        <w:t>构建现代服务经济体系</w:t>
      </w:r>
      <w:bookmarkEnd w:id="27"/>
      <w:r>
        <w:rPr>
          <w:rFonts w:hAnsi="Calibri" w:eastAsia="黑体"/>
          <w:bCs/>
          <w:kern w:val="44"/>
          <w:sz w:val="32"/>
          <w:szCs w:val="44"/>
        </w:rPr>
        <w:t>，全面支撑社会主义现代化大都市建设</w:t>
      </w:r>
      <w:bookmarkEnd w:id="28"/>
      <w:bookmarkEnd w:id="29"/>
    </w:p>
    <w:p>
      <w:pPr>
        <w:snapToGrid w:val="0"/>
        <w:spacing w:line="560" w:lineRule="exact"/>
        <w:ind w:firstLine="640"/>
        <w:rPr>
          <w:rFonts w:eastAsia="仿宋_GB2312"/>
          <w:bCs/>
          <w:sz w:val="32"/>
          <w:szCs w:val="32"/>
        </w:rPr>
      </w:pPr>
      <w:bookmarkStart w:id="30" w:name="_Toc39929421"/>
      <w:r>
        <w:rPr>
          <w:rFonts w:eastAsia="仿宋_GB2312"/>
          <w:bCs/>
          <w:sz w:val="32"/>
          <w:szCs w:val="32"/>
        </w:rPr>
        <w:t>坚持高质量发展，加快构建优质高效、结构合理、竞争力强的服务产业新体系，不断满足产业转型升级需求和人民美好生活需要，为社会主义现代化大都市建设提供有力支撑。</w:t>
      </w:r>
    </w:p>
    <w:bookmarkEnd w:id="30"/>
    <w:p>
      <w:pPr>
        <w:keepNext/>
        <w:keepLines/>
        <w:snapToGrid w:val="0"/>
        <w:spacing w:line="560" w:lineRule="exact"/>
        <w:ind w:firstLine="801"/>
        <w:outlineLvl w:val="1"/>
        <w:rPr>
          <w:rFonts w:eastAsia="楷体_GB2312"/>
          <w:kern w:val="0"/>
          <w:sz w:val="32"/>
          <w:szCs w:val="24"/>
        </w:rPr>
      </w:pPr>
      <w:bookmarkStart w:id="31" w:name="_Toc1086"/>
      <w:bookmarkStart w:id="32" w:name="_Toc1360157696_WPSOffice_Level2"/>
      <w:bookmarkStart w:id="33" w:name="_Toc1194922872"/>
      <w:r>
        <w:rPr>
          <w:rFonts w:hAnsi="Arial" w:eastAsia="楷体_GB2312"/>
          <w:kern w:val="0"/>
          <w:sz w:val="32"/>
          <w:szCs w:val="24"/>
        </w:rPr>
        <w:t>（一）推动生产性服务业向专业化和价值链高端</w:t>
      </w:r>
      <w:bookmarkEnd w:id="31"/>
      <w:r>
        <w:rPr>
          <w:rFonts w:hAnsi="Arial" w:eastAsia="楷体_GB2312"/>
          <w:kern w:val="0"/>
          <w:sz w:val="32"/>
          <w:szCs w:val="24"/>
        </w:rPr>
        <w:t>延伸</w:t>
      </w:r>
      <w:bookmarkEnd w:id="32"/>
      <w:bookmarkEnd w:id="33"/>
    </w:p>
    <w:p>
      <w:pPr>
        <w:adjustRightInd w:val="0"/>
        <w:snapToGrid w:val="0"/>
        <w:spacing w:line="560" w:lineRule="exact"/>
        <w:ind w:firstLine="640"/>
        <w:rPr>
          <w:rFonts w:eastAsia="仿宋_GB2312"/>
          <w:bCs/>
          <w:color w:val="FF0000"/>
          <w:sz w:val="32"/>
          <w:szCs w:val="32"/>
        </w:rPr>
      </w:pPr>
      <w:r>
        <w:rPr>
          <w:rFonts w:eastAsia="仿宋_GB2312"/>
          <w:bCs/>
          <w:sz w:val="32"/>
          <w:szCs w:val="32"/>
        </w:rPr>
        <w:t>加快全国先进制造研发基地建设，坚持制造业立市，引导生产性服务业在产业链条和业态上集聚发展，聚链成群，全面提高生产性服务业集聚度、区域连接性和整体协同性，构建链接全球的高能级生产性服务经济体系。</w:t>
      </w:r>
    </w:p>
    <w:p>
      <w:pPr>
        <w:adjustRightInd w:val="0"/>
        <w:snapToGrid w:val="0"/>
        <w:spacing w:line="560" w:lineRule="exact"/>
        <w:ind w:firstLine="643"/>
        <w:outlineLvl w:val="2"/>
        <w:rPr>
          <w:rFonts w:eastAsia="仿宋_GB2312"/>
          <w:bCs/>
          <w:sz w:val="32"/>
          <w:szCs w:val="32"/>
        </w:rPr>
      </w:pPr>
      <w:bookmarkStart w:id="34" w:name="_Toc15043"/>
      <w:r>
        <w:rPr>
          <w:rFonts w:eastAsia="仿宋_GB2312"/>
          <w:bCs/>
          <w:sz w:val="32"/>
          <w:szCs w:val="32"/>
        </w:rPr>
        <w:t>1.现代金融</w:t>
      </w:r>
      <w:bookmarkEnd w:id="34"/>
    </w:p>
    <w:p>
      <w:pPr>
        <w:adjustRightInd w:val="0"/>
        <w:snapToGrid w:val="0"/>
        <w:spacing w:line="560" w:lineRule="exact"/>
        <w:ind w:firstLine="640"/>
        <w:rPr>
          <w:rFonts w:eastAsia="仿宋_GB2312"/>
          <w:bCs/>
          <w:sz w:val="32"/>
          <w:szCs w:val="32"/>
        </w:rPr>
      </w:pPr>
      <w:r>
        <w:rPr>
          <w:rFonts w:eastAsia="仿宋_GB2312"/>
          <w:bCs/>
          <w:sz w:val="32"/>
          <w:szCs w:val="32"/>
        </w:rPr>
        <w:t>加快建设金融创新运营示范区，完善金融监管，优化金融营商环境，不断提升金融运营水平，切实防范化解金融风险，增强金融服务实体经济功能。</w:t>
      </w:r>
    </w:p>
    <w:p>
      <w:pPr>
        <w:adjustRightInd w:val="0"/>
        <w:snapToGrid w:val="0"/>
        <w:spacing w:line="560" w:lineRule="exact"/>
        <w:ind w:firstLine="643"/>
        <w:rPr>
          <w:rFonts w:eastAsia="仿宋_GB2312"/>
          <w:bCs/>
          <w:sz w:val="32"/>
          <w:szCs w:val="32"/>
        </w:rPr>
      </w:pPr>
      <w:r>
        <w:rPr>
          <w:rFonts w:eastAsia="楷体_GB2312"/>
          <w:bCs/>
          <w:sz w:val="32"/>
          <w:szCs w:val="32"/>
        </w:rPr>
        <w:t>集聚优质金融资源。</w:t>
      </w:r>
      <w:r>
        <w:rPr>
          <w:rFonts w:eastAsia="仿宋_GB2312"/>
          <w:bCs/>
          <w:sz w:val="32"/>
          <w:szCs w:val="32"/>
        </w:rPr>
        <w:t>进一步集聚各类金融机构，积极引进民营银行、金融租赁、消费金融等法人金融机构，加快财富管理中心、结算中心等金融后台及服务外包类功能性机构集聚发展。推动在津法人金融机构通过增资扩股、整合重组等方式提高自身综合实力，打造一批实力雄厚、具有全国乃至国际竞争力和影响力的法人金融机构。完善金融监管和风险防控体系，强化金融法人机构内控机制，提高国有金融资本管理水平，规范民间融资行为，推动金融风险防控全覆盖，全面提高监管能力和防控水平，坚决守住不发生区域性、系统性金融风险底线。</w:t>
      </w:r>
    </w:p>
    <w:p>
      <w:pPr>
        <w:adjustRightInd w:val="0"/>
        <w:snapToGrid w:val="0"/>
        <w:spacing w:line="560" w:lineRule="exact"/>
        <w:ind w:firstLine="643"/>
        <w:rPr>
          <w:rFonts w:eastAsia="仿宋_GB2312"/>
          <w:sz w:val="32"/>
          <w:szCs w:val="32"/>
        </w:rPr>
      </w:pPr>
      <w:r>
        <w:rPr>
          <w:rFonts w:eastAsia="楷体_GB2312"/>
          <w:bCs/>
          <w:sz w:val="32"/>
          <w:szCs w:val="32"/>
        </w:rPr>
        <w:t>提升金融服务功能。</w:t>
      </w:r>
      <w:r>
        <w:rPr>
          <w:rFonts w:eastAsia="仿宋_GB2312"/>
          <w:bCs/>
          <w:sz w:val="32"/>
          <w:szCs w:val="32"/>
        </w:rPr>
        <w:t>积极稳妥发展普惠性金融，在审慎</w:t>
      </w:r>
      <w:r>
        <w:rPr>
          <w:rFonts w:eastAsia="仿宋_GB2312"/>
          <w:bCs/>
          <w:color w:val="000000"/>
          <w:sz w:val="32"/>
          <w:szCs w:val="32"/>
        </w:rPr>
        <w:t>监管的前提下，推进金融产品和服务方式创新。</w:t>
      </w:r>
      <w:r>
        <w:rPr>
          <w:rFonts w:eastAsia="仿宋_GB2312"/>
          <w:bCs/>
          <w:sz w:val="32"/>
          <w:szCs w:val="32"/>
        </w:rPr>
        <w:t>深化金融与航运、商贸、环保、科技等产业领域联动发展，大力发展航运金融、供应链金融、绿色金融、科技金融，加大对先进制造业等重点领域支持力度。</w:t>
      </w:r>
      <w:r>
        <w:rPr>
          <w:rFonts w:eastAsia="仿宋_GB2312"/>
          <w:bCs/>
          <w:color w:val="000000"/>
          <w:sz w:val="32"/>
          <w:szCs w:val="32"/>
        </w:rPr>
        <w:t>加强“信易贷”模式推广，支持开展信用融资，拓展贷款抵押质押物范围。</w:t>
      </w:r>
      <w:r>
        <w:rPr>
          <w:rFonts w:eastAsia="仿宋_GB2312"/>
          <w:bCs/>
          <w:sz w:val="32"/>
          <w:szCs w:val="32"/>
        </w:rPr>
        <w:t>推进国家租赁创新示范区建设，</w:t>
      </w:r>
      <w:r>
        <w:rPr>
          <w:rFonts w:eastAsia="仿宋_GB2312"/>
          <w:sz w:val="32"/>
          <w:szCs w:val="32"/>
        </w:rPr>
        <w:t>推动租赁业环境、机构、业务、政策、监管五方面升级提档，做大做强海洋融资租赁，打造租赁业发展升级版</w:t>
      </w:r>
      <w:r>
        <w:rPr>
          <w:rFonts w:eastAsia="仿宋_GB2312"/>
          <w:bCs/>
          <w:sz w:val="32"/>
          <w:szCs w:val="32"/>
        </w:rPr>
        <w:t>。</w:t>
      </w:r>
      <w:r>
        <w:rPr>
          <w:rFonts w:eastAsia="仿宋_GB2312"/>
          <w:sz w:val="32"/>
          <w:szCs w:val="32"/>
        </w:rPr>
        <w:t>深化自贸试验区金融改革创新，用好用足FT账户在跨境投融资方面的便利性。支持天津区域性股权市场建设成为扶持中小微企业政策措施的综合运用平台。</w:t>
      </w:r>
    </w:p>
    <w:p>
      <w:pPr>
        <w:adjustRightInd w:val="0"/>
        <w:snapToGrid w:val="0"/>
        <w:spacing w:line="560" w:lineRule="exact"/>
        <w:ind w:firstLine="643"/>
        <w:rPr>
          <w:rFonts w:eastAsia="仿宋_GB2312"/>
          <w:sz w:val="32"/>
          <w:szCs w:val="32"/>
        </w:rPr>
      </w:pPr>
      <w:r>
        <w:rPr>
          <w:rFonts w:eastAsia="楷体_GB2312"/>
          <w:bCs/>
          <w:sz w:val="32"/>
          <w:szCs w:val="32"/>
        </w:rPr>
        <w:t>更好服务实体经济。</w:t>
      </w:r>
      <w:r>
        <w:rPr>
          <w:rFonts w:eastAsia="仿宋_GB2312"/>
          <w:bCs/>
          <w:sz w:val="32"/>
          <w:szCs w:val="32"/>
        </w:rPr>
        <w:t>鼓励金融机构运用互联网等科技手</w:t>
      </w:r>
      <w:r>
        <w:rPr>
          <w:rFonts w:eastAsia="仿宋_GB2312"/>
          <w:bCs/>
          <w:color w:val="000000"/>
          <w:sz w:val="32"/>
          <w:szCs w:val="32"/>
        </w:rPr>
        <w:t>段赋能企业金融服务，打通企业融资“最后一公里”，更好满足中小微企业融资需求。用好国家融资担保基金，完善政府性融资担保体系，发挥市融资担保发展基金作用，为中小微企业融资提供再担保。更好发挥海河产业基金、京津冀协同发展产业投资基金、滨海产业基金作用，支持重点产业发展和优质项目建设。健全覆盖企业成长全周期的科技风险投资体系，引进更多创业投资、私募股权投资等投资基金，</w:t>
      </w:r>
      <w:r>
        <w:rPr>
          <w:rFonts w:eastAsia="仿宋_GB2312"/>
          <w:sz w:val="32"/>
          <w:szCs w:val="32"/>
        </w:rPr>
        <w:t>推动企业上市或挂牌融资，包括向不特定合格投资者公开发行股票并在精选层挂牌，在区域性股权市场挂牌，扩大直接融资规模。</w:t>
      </w:r>
    </w:p>
    <w:p>
      <w:pPr>
        <w:adjustRightInd w:val="0"/>
        <w:snapToGrid w:val="0"/>
        <w:spacing w:line="560" w:lineRule="exact"/>
        <w:ind w:firstLine="643"/>
        <w:rPr>
          <w:rFonts w:eastAsia="仿宋_GB2312"/>
          <w:sz w:val="32"/>
          <w:szCs w:val="32"/>
        </w:rPr>
      </w:pPr>
      <w:bookmarkStart w:id="35" w:name="_Toc23448"/>
      <w:r>
        <w:rPr>
          <w:rFonts w:eastAsia="仿宋_GB2312"/>
          <w:sz w:val="32"/>
          <w:szCs w:val="32"/>
        </w:rPr>
        <w:t>2.现代物流</w:t>
      </w:r>
      <w:bookmarkEnd w:id="35"/>
    </w:p>
    <w:p>
      <w:pPr>
        <w:adjustRightInd w:val="0"/>
        <w:snapToGrid w:val="0"/>
        <w:spacing w:line="560" w:lineRule="exact"/>
        <w:ind w:firstLine="640"/>
        <w:rPr>
          <w:rFonts w:eastAsia="仿宋_GB2312"/>
          <w:bCs/>
          <w:sz w:val="32"/>
          <w:szCs w:val="32"/>
        </w:rPr>
      </w:pPr>
      <w:r>
        <w:rPr>
          <w:rFonts w:eastAsia="仿宋_GB2312"/>
          <w:bCs/>
          <w:sz w:val="32"/>
          <w:szCs w:val="32"/>
        </w:rPr>
        <w:t>围绕建设现代服务经济体系，加快构建内通外联、高效运作的现代物流设施系统，</w:t>
      </w:r>
      <w:r>
        <w:rPr>
          <w:rFonts w:eastAsia="仿宋_GB2312"/>
          <w:color w:val="000000"/>
          <w:sz w:val="32"/>
          <w:szCs w:val="32"/>
        </w:rPr>
        <w:t>推动建设</w:t>
      </w:r>
      <w:r>
        <w:rPr>
          <w:rFonts w:eastAsia="仿宋_GB2312"/>
          <w:bCs/>
          <w:kern w:val="36"/>
          <w:sz w:val="32"/>
          <w:szCs w:val="32"/>
        </w:rPr>
        <w:t>“物流园区、物流中心、城乡配送点”三级物流设施体系，</w:t>
      </w:r>
      <w:r>
        <w:rPr>
          <w:rFonts w:eastAsia="仿宋_GB2312"/>
          <w:bCs/>
          <w:sz w:val="32"/>
          <w:szCs w:val="32"/>
        </w:rPr>
        <w:t>优化物流发展空间布局，提升我市供应链安全性、可靠性，打造创新赋能的现代物流经济。</w:t>
      </w:r>
    </w:p>
    <w:p>
      <w:pPr>
        <w:snapToGrid w:val="0"/>
        <w:spacing w:line="560" w:lineRule="exact"/>
        <w:ind w:firstLine="643"/>
        <w:rPr>
          <w:rFonts w:eastAsia="仿宋_GB2312"/>
          <w:sz w:val="32"/>
          <w:szCs w:val="32"/>
        </w:rPr>
      </w:pPr>
      <w:r>
        <w:rPr>
          <w:rFonts w:eastAsia="楷体_GB2312"/>
          <w:bCs/>
          <w:sz w:val="32"/>
          <w:szCs w:val="32"/>
        </w:rPr>
        <w:t>培育安全高效的现代供应链。</w:t>
      </w:r>
      <w:r>
        <w:rPr>
          <w:rFonts w:eastAsia="仿宋_GB2312"/>
          <w:sz w:val="32"/>
          <w:szCs w:val="32"/>
        </w:rPr>
        <w:t>大力发展以柔性化生产、</w:t>
      </w:r>
      <w:r>
        <w:rPr>
          <w:rFonts w:eastAsia="仿宋_GB2312"/>
          <w:bCs/>
          <w:sz w:val="32"/>
          <w:szCs w:val="32"/>
        </w:rPr>
        <w:t>资源高度共享为特征的现代供应链模式。推动物流企业与商贸企业打造一体化供应链服务平台，实现供需对接、集中采购、支付结算等功能集成。培育发展农产品供应链，依托农产品电商、物流信息平台，推进产地与销地、批发市场线上线下融合发展。鼓励物流企业为制造企业提供供应链管理库存、供应链一体化服务等个性化物流解决方案。鼓励大中院校、科研院所、骨干企业加强数字供应链前沿技术、基础软件、先进模式等研究与推广。</w:t>
      </w:r>
    </w:p>
    <w:p>
      <w:pPr>
        <w:adjustRightInd w:val="0"/>
        <w:snapToGrid w:val="0"/>
        <w:spacing w:line="560" w:lineRule="exact"/>
        <w:ind w:firstLine="643"/>
        <w:rPr>
          <w:rFonts w:eastAsia="仿宋_GB2312"/>
          <w:bCs/>
          <w:sz w:val="32"/>
          <w:szCs w:val="32"/>
        </w:rPr>
      </w:pPr>
      <w:r>
        <w:rPr>
          <w:rFonts w:eastAsia="楷体_GB2312"/>
          <w:bCs/>
          <w:sz w:val="32"/>
          <w:szCs w:val="32"/>
        </w:rPr>
        <w:t>发展冷链物流。</w:t>
      </w:r>
      <w:r>
        <w:rPr>
          <w:rFonts w:eastAsia="仿宋_GB2312"/>
          <w:sz w:val="32"/>
          <w:szCs w:val="32"/>
        </w:rPr>
        <w:t>加快推进冷链基础设施建设，分层次完</w:t>
      </w:r>
      <w:r>
        <w:rPr>
          <w:rFonts w:eastAsia="仿宋_GB2312"/>
          <w:bCs/>
          <w:sz w:val="32"/>
          <w:szCs w:val="32"/>
        </w:rPr>
        <w:t>善各类专业化冷库设施布局，引导商贸流通企业改善末端冷链设施装备条件。拓展大型冷链物流设施功能，建设面向城市消费的低温加工处理中心，发展 “生鲜电商+冷链宅配”、“中央厨房+食材冷链配送”等新模式。推广冷藏集装箱、保温箱、冷藏车等标准化装备，提高冷链物流规模化、标准化水平。推进武清、静海、宝坻、宁河、蓟州等农业区建设冷链物流节点和冷链物流中心，促进冷链物流与现代农业融合发展，</w:t>
      </w:r>
      <w:r>
        <w:rPr>
          <w:rFonts w:eastAsia="仿宋_GB2312"/>
          <w:sz w:val="32"/>
          <w:szCs w:val="32"/>
        </w:rPr>
        <w:t>打造京津冀1小时鲜活农产品冷链物流圈。</w:t>
      </w:r>
      <w:r>
        <w:rPr>
          <w:rFonts w:eastAsia="仿宋_GB2312"/>
          <w:bCs/>
          <w:sz w:val="32"/>
          <w:szCs w:val="32"/>
        </w:rPr>
        <w:t>加强冷链物流监管，提升安全运行和质量保障水平，加快</w:t>
      </w:r>
      <w:r>
        <w:rPr>
          <w:rFonts w:eastAsia="仿宋_GB2312"/>
          <w:sz w:val="32"/>
          <w:szCs w:val="32"/>
        </w:rPr>
        <w:t>建设中国北方国际冷链物流基地。</w:t>
      </w:r>
    </w:p>
    <w:p>
      <w:pPr>
        <w:snapToGrid w:val="0"/>
        <w:spacing w:line="560" w:lineRule="exact"/>
        <w:ind w:firstLine="643"/>
        <w:rPr>
          <w:rFonts w:eastAsia="仿宋_GB2312"/>
          <w:bCs/>
          <w:sz w:val="32"/>
          <w:szCs w:val="32"/>
        </w:rPr>
      </w:pPr>
      <w:r>
        <w:rPr>
          <w:rFonts w:eastAsia="楷体_GB2312"/>
          <w:bCs/>
          <w:sz w:val="32"/>
          <w:szCs w:val="32"/>
        </w:rPr>
        <w:t>发展增值物流服务。</w:t>
      </w:r>
      <w:r>
        <w:rPr>
          <w:rFonts w:eastAsia="仿宋_GB2312"/>
          <w:bCs/>
          <w:sz w:val="32"/>
          <w:szCs w:val="32"/>
        </w:rPr>
        <w:t>发展快递物流，吸引电商、物流龙头企业布局建设区域性或功能性总部，加快构建快递物流干线运输、区域分拨、城乡配送网络协同的快递配送服务体系。支持快递企业拓展服务功能，深入实施快递“进厂”“进村”“进社区”。推动“快递出海”工程，充分发挥天津国际邮件互换局功能，不断提升跨境寄递服务水平，鼓励邮政快递企业“走出去”，培育具有国际竞争力的快递企业。发展保税物流，发挥天津港、东疆等综合保税区的保税物流政策功能，重点发展国际中转、国际配送、国际采购、国际转口贸易等业务。</w:t>
      </w:r>
      <w:bookmarkStart w:id="36" w:name="_Toc11964"/>
      <w:r>
        <w:rPr>
          <w:rFonts w:eastAsia="仿宋_GB2312"/>
          <w:bCs/>
          <w:sz w:val="32"/>
          <w:szCs w:val="32"/>
        </w:rPr>
        <w:t>发展逆向物流，建设产品包装、家用电器、电子产品等废旧物资回收体系，促进产品回收和资源循环利用。发展智慧物流</w:t>
      </w:r>
      <w:bookmarkEnd w:id="36"/>
      <w:r>
        <w:rPr>
          <w:rFonts w:eastAsia="仿宋_GB2312"/>
          <w:bCs/>
          <w:sz w:val="32"/>
          <w:szCs w:val="32"/>
        </w:rPr>
        <w:t>，推动新能源和清洁能源运输车辆在物流领域应用，支持物流企业“上云用数赋智”，打造一批数字化转型标杆企业和典型应用场景，积极发展网络货运等智慧物流新模式。</w:t>
      </w:r>
    </w:p>
    <w:p>
      <w:pPr>
        <w:adjustRightInd w:val="0"/>
        <w:snapToGrid w:val="0"/>
        <w:spacing w:line="560" w:lineRule="exact"/>
        <w:ind w:firstLine="643"/>
        <w:rPr>
          <w:rFonts w:eastAsia="仿宋_GB2312"/>
          <w:sz w:val="32"/>
          <w:szCs w:val="32"/>
        </w:rPr>
      </w:pPr>
      <w:bookmarkStart w:id="37" w:name="_Toc18656"/>
      <w:r>
        <w:rPr>
          <w:rFonts w:eastAsia="仿宋_GB2312"/>
          <w:sz w:val="32"/>
          <w:szCs w:val="32"/>
        </w:rPr>
        <w:t>3.商务服务</w:t>
      </w:r>
      <w:bookmarkEnd w:id="37"/>
    </w:p>
    <w:p>
      <w:pPr>
        <w:adjustRightInd w:val="0"/>
        <w:snapToGrid w:val="0"/>
        <w:spacing w:line="560" w:lineRule="exact"/>
        <w:ind w:firstLine="640"/>
        <w:rPr>
          <w:rFonts w:eastAsia="仿宋_GB2312"/>
          <w:bCs/>
          <w:sz w:val="32"/>
          <w:szCs w:val="32"/>
        </w:rPr>
      </w:pPr>
      <w:r>
        <w:rPr>
          <w:rFonts w:eastAsia="仿宋_GB2312"/>
          <w:bCs/>
          <w:sz w:val="32"/>
          <w:szCs w:val="32"/>
        </w:rPr>
        <w:t>抢抓京津冀协同发展重大战略机遇，精准引入优质商务服务资源，与国际惯例和标准接轨，强化商务服务人才、品牌等软实力建设，增强商务服务整体素质，提升国际化、专业化、集聚化发展水平。</w:t>
      </w:r>
    </w:p>
    <w:p>
      <w:pPr>
        <w:adjustRightInd w:val="0"/>
        <w:snapToGrid w:val="0"/>
        <w:spacing w:line="560" w:lineRule="exact"/>
        <w:ind w:firstLine="643"/>
        <w:rPr>
          <w:rFonts w:eastAsia="仿宋_GB2312"/>
          <w:bCs/>
          <w:sz w:val="32"/>
          <w:szCs w:val="32"/>
        </w:rPr>
      </w:pPr>
      <w:r>
        <w:rPr>
          <w:rFonts w:eastAsia="楷体_GB2312"/>
          <w:bCs/>
          <w:sz w:val="32"/>
          <w:szCs w:val="32"/>
        </w:rPr>
        <w:t>提高人力资源服务集聚度。</w:t>
      </w:r>
      <w:r>
        <w:rPr>
          <w:rFonts w:eastAsia="仿宋_GB2312"/>
          <w:bCs/>
          <w:sz w:val="32"/>
          <w:szCs w:val="32"/>
        </w:rPr>
        <w:t>完善涵盖外包、咨询、猎头、培训等业务的人力资源全产业链，加快“中国天津人力资源服务产业园”建设，重点引进优质人力资源服务机构。做大做强中国北方人才市场，推进市场化进程，丰富人力资源服务内容，做强培训、人员测评、服务网站建设、高端人才寻访、人力资源外包、人力资源管理咨询等高价值端业务，推动人力资源服务业健康快速发展。</w:t>
      </w:r>
    </w:p>
    <w:p>
      <w:pPr>
        <w:snapToGrid w:val="0"/>
        <w:spacing w:line="560" w:lineRule="exact"/>
        <w:ind w:firstLine="643"/>
        <w:rPr>
          <w:rFonts w:eastAsia="仿宋_GB2312"/>
          <w:bCs/>
          <w:sz w:val="32"/>
          <w:szCs w:val="32"/>
        </w:rPr>
      </w:pPr>
      <w:r>
        <w:rPr>
          <w:rFonts w:eastAsia="楷体_GB2312"/>
          <w:bCs/>
          <w:sz w:val="32"/>
          <w:szCs w:val="32"/>
        </w:rPr>
        <w:t>培育发展专业化服务。</w:t>
      </w:r>
      <w:r>
        <w:rPr>
          <w:rFonts w:eastAsia="仿宋_GB2312"/>
          <w:bCs/>
          <w:sz w:val="32"/>
          <w:szCs w:val="32"/>
        </w:rPr>
        <w:t>积极发展会计服务，鼓励会计师事务所、税务师事务所做大做强，通过兼并、重组等方式拓展国内外市场。积极发展法律服务，引进和培育熟悉国际商法、国际惯例和交易规则的专业服务从业者，提高法律服务国际化水平。大力发展战略规划、营销策划、广告服务、市场调查、管理咨询、信用服务等专业服务。</w:t>
      </w:r>
    </w:p>
    <w:p>
      <w:pPr>
        <w:adjustRightInd w:val="0"/>
        <w:snapToGrid w:val="0"/>
        <w:spacing w:line="560" w:lineRule="exact"/>
        <w:ind w:firstLine="643"/>
        <w:rPr>
          <w:rFonts w:eastAsia="仿宋_GB2312"/>
          <w:sz w:val="32"/>
          <w:szCs w:val="32"/>
        </w:rPr>
      </w:pPr>
      <w:bookmarkStart w:id="38" w:name="_Toc31453"/>
      <w:r>
        <w:rPr>
          <w:rFonts w:eastAsia="仿宋_GB2312"/>
          <w:sz w:val="32"/>
          <w:szCs w:val="32"/>
        </w:rPr>
        <w:t>4.会展服务</w:t>
      </w:r>
    </w:p>
    <w:p>
      <w:pPr>
        <w:adjustRightInd w:val="0"/>
        <w:snapToGrid w:val="0"/>
        <w:spacing w:line="560" w:lineRule="exact"/>
        <w:ind w:firstLine="640"/>
        <w:rPr>
          <w:rFonts w:eastAsia="仿宋_GB2312"/>
          <w:bCs/>
          <w:sz w:val="32"/>
          <w:szCs w:val="32"/>
        </w:rPr>
      </w:pPr>
      <w:r>
        <w:rPr>
          <w:rFonts w:eastAsia="仿宋_GB2312"/>
          <w:bCs/>
          <w:sz w:val="32"/>
          <w:szCs w:val="32"/>
        </w:rPr>
        <w:t>坚持“专业化、国际化、品牌化”发展方向，加快建设国家会展中心（天津），完善周边地区设施配套和功能，做大做强会展经济，打响天津会展品牌，建设北方国际会展中心城市。</w:t>
      </w:r>
    </w:p>
    <w:p>
      <w:pPr>
        <w:adjustRightInd w:val="0"/>
        <w:snapToGrid w:val="0"/>
        <w:spacing w:line="560" w:lineRule="exact"/>
        <w:ind w:firstLine="643"/>
        <w:rPr>
          <w:rFonts w:eastAsia="仿宋_GB2312"/>
          <w:bCs/>
          <w:sz w:val="32"/>
          <w:szCs w:val="32"/>
        </w:rPr>
      </w:pPr>
      <w:r>
        <w:rPr>
          <w:rFonts w:eastAsia="楷体_GB2312"/>
          <w:bCs/>
          <w:sz w:val="32"/>
          <w:szCs w:val="32"/>
        </w:rPr>
        <w:t>打造会展特色链。</w:t>
      </w:r>
      <w:r>
        <w:rPr>
          <w:rFonts w:eastAsia="仿宋_GB2312"/>
          <w:bCs/>
          <w:sz w:val="32"/>
          <w:szCs w:val="32"/>
        </w:rPr>
        <w:t>吸引国际会展行业组织和国际知名会展企业落户，引入和培育会展信息服务、咨询评估、场馆管理等多元化服务主体。支持会展企业与国际展览协会（UFI）、国际大会与会议协会（ICCA）等国际知名会展机构交流合作，鼓励开展UFI、ICCA认证。加强会展环境建设，完善翻译、金融、法律及物流等各项相关服务，优化餐饮、住宿、零售等网点布局。以展会企业为龙头，</w:t>
      </w:r>
      <w:r>
        <w:rPr>
          <w:rFonts w:eastAsia="仿宋_GB2312"/>
          <w:bCs/>
          <w:color w:val="000000"/>
          <w:sz w:val="32"/>
          <w:szCs w:val="32"/>
        </w:rPr>
        <w:t>探索“会展+”一体化服务模式，</w:t>
      </w:r>
      <w:r>
        <w:rPr>
          <w:rFonts w:eastAsia="仿宋_GB2312"/>
          <w:bCs/>
          <w:sz w:val="32"/>
          <w:szCs w:val="32"/>
        </w:rPr>
        <w:t>协同发展旅游业、零售业、物流业、金融业、保险业、商务服务业等业态，</w:t>
      </w:r>
      <w:r>
        <w:rPr>
          <w:rFonts w:eastAsia="仿宋_GB2312"/>
          <w:bCs/>
          <w:color w:val="000000"/>
          <w:sz w:val="32"/>
          <w:szCs w:val="32"/>
        </w:rPr>
        <w:t>提升会展产业集群的经济效益</w:t>
      </w:r>
      <w:r>
        <w:rPr>
          <w:rFonts w:eastAsia="仿宋_GB2312"/>
          <w:bCs/>
          <w:sz w:val="32"/>
          <w:szCs w:val="32"/>
        </w:rPr>
        <w:t>。</w:t>
      </w:r>
    </w:p>
    <w:p>
      <w:pPr>
        <w:adjustRightInd w:val="0"/>
        <w:snapToGrid w:val="0"/>
        <w:spacing w:line="560" w:lineRule="exact"/>
        <w:ind w:firstLine="643"/>
        <w:rPr>
          <w:szCs w:val="24"/>
        </w:rPr>
      </w:pPr>
      <w:r>
        <w:rPr>
          <w:rFonts w:eastAsia="楷体_GB2312"/>
          <w:bCs/>
          <w:sz w:val="32"/>
          <w:szCs w:val="32"/>
        </w:rPr>
        <w:t>发展数字会展。</w:t>
      </w:r>
      <w:r>
        <w:rPr>
          <w:rFonts w:hAnsi="Calibri" w:eastAsia="仿宋_GB2312"/>
          <w:sz w:val="32"/>
          <w:szCs w:val="22"/>
        </w:rPr>
        <w:t>推进</w:t>
      </w:r>
      <w:r>
        <w:rPr>
          <w:rFonts w:hAnsi="Calibri" w:eastAsia="仿宋_GB2312"/>
          <w:sz w:val="32"/>
          <w:szCs w:val="24"/>
        </w:rPr>
        <w:t>国家会展中心智能化展览设施建设，实现展会策划、运营展示和数据管理等线上化运营，打造数字化会展平台。推动展会线上化发展，开展线上展位、线上社交、线上采买交易等服务，探索</w:t>
      </w:r>
      <w:r>
        <w:rPr>
          <w:rFonts w:eastAsia="仿宋_GB2312"/>
          <w:sz w:val="32"/>
          <w:szCs w:val="24"/>
        </w:rPr>
        <w:t>“</w:t>
      </w:r>
      <w:r>
        <w:rPr>
          <w:rFonts w:hAnsi="Calibri" w:eastAsia="仿宋_GB2312"/>
          <w:sz w:val="32"/>
          <w:szCs w:val="24"/>
        </w:rPr>
        <w:t>线上</w:t>
      </w:r>
      <w:r>
        <w:rPr>
          <w:rFonts w:eastAsia="仿宋_GB2312"/>
          <w:sz w:val="32"/>
          <w:szCs w:val="24"/>
        </w:rPr>
        <w:t>+线</w:t>
      </w:r>
      <w:r>
        <w:rPr>
          <w:rFonts w:hAnsi="Calibri" w:eastAsia="仿宋_GB2312"/>
          <w:sz w:val="32"/>
          <w:szCs w:val="24"/>
        </w:rPr>
        <w:t>下</w:t>
      </w:r>
      <w:r>
        <w:rPr>
          <w:rFonts w:eastAsia="仿宋_GB2312"/>
          <w:sz w:val="32"/>
          <w:szCs w:val="24"/>
        </w:rPr>
        <w:t>”</w:t>
      </w:r>
      <w:r>
        <w:rPr>
          <w:rFonts w:hAnsi="Calibri" w:eastAsia="仿宋_GB2312"/>
          <w:sz w:val="32"/>
          <w:szCs w:val="24"/>
        </w:rPr>
        <w:t>双线展会模式。支持大型展示展览企业和知名云服务企业建设云展会服务实体，打造云会议、云展览、云体验等系列活动。推动天津博物馆、美术馆、科技馆等实施数字化改造工程，运用</w:t>
      </w:r>
      <w:r>
        <w:rPr>
          <w:rFonts w:eastAsia="仿宋_GB2312"/>
          <w:sz w:val="32"/>
          <w:szCs w:val="24"/>
        </w:rPr>
        <w:t>5G高清视频、网络视听、数字出版、VR/AR等新技术手段，</w:t>
      </w:r>
      <w:r>
        <w:rPr>
          <w:rFonts w:hAnsi="Calibri" w:eastAsia="仿宋_GB2312"/>
          <w:sz w:val="32"/>
          <w:szCs w:val="22"/>
        </w:rPr>
        <w:t>建设数字孪生景区，</w:t>
      </w:r>
      <w:r>
        <w:rPr>
          <w:rFonts w:eastAsia="仿宋_GB2312"/>
          <w:sz w:val="32"/>
          <w:szCs w:val="24"/>
        </w:rPr>
        <w:t>打造展示展览沉浸式全景数字化产品</w:t>
      </w:r>
      <w:r>
        <w:rPr>
          <w:rFonts w:hAnsi="Calibri" w:eastAsia="仿宋_GB2312"/>
          <w:sz w:val="32"/>
          <w:szCs w:val="24"/>
        </w:rPr>
        <w:t>。</w:t>
      </w:r>
    </w:p>
    <w:p>
      <w:pPr>
        <w:adjustRightInd w:val="0"/>
        <w:snapToGrid w:val="0"/>
        <w:spacing w:line="560" w:lineRule="exact"/>
        <w:ind w:firstLine="643"/>
        <w:rPr>
          <w:rFonts w:eastAsia="仿宋_GB2312"/>
          <w:sz w:val="32"/>
          <w:szCs w:val="32"/>
        </w:rPr>
      </w:pPr>
      <w:r>
        <w:rPr>
          <w:rFonts w:eastAsia="仿宋_GB2312"/>
          <w:sz w:val="32"/>
          <w:szCs w:val="32"/>
        </w:rPr>
        <w:t>5.科技服务</w:t>
      </w:r>
      <w:bookmarkEnd w:id="38"/>
    </w:p>
    <w:p>
      <w:pPr>
        <w:adjustRightInd w:val="0"/>
        <w:snapToGrid w:val="0"/>
        <w:spacing w:line="560" w:lineRule="exact"/>
        <w:ind w:firstLine="640"/>
        <w:rPr>
          <w:rFonts w:eastAsia="仿宋_GB2312"/>
          <w:bCs/>
          <w:sz w:val="32"/>
          <w:szCs w:val="32"/>
        </w:rPr>
      </w:pPr>
      <w:r>
        <w:rPr>
          <w:rFonts w:eastAsia="仿宋_GB2312"/>
          <w:bCs/>
          <w:sz w:val="32"/>
          <w:szCs w:val="32"/>
        </w:rPr>
        <w:t>紧紧围绕打造自主创新重要源头和原始创新主要策源地，大力发展研究开发、技术转移、知识产权、检验检测等科技服务业态，形成覆盖科技创新全链条的科技服务体系，进一步提升科技服务对制造业、创新创业、产业转型升级的支撑能力。</w:t>
      </w:r>
    </w:p>
    <w:p>
      <w:pPr>
        <w:adjustRightInd w:val="0"/>
        <w:snapToGrid w:val="0"/>
        <w:spacing w:line="560" w:lineRule="exact"/>
        <w:ind w:firstLine="643"/>
        <w:rPr>
          <w:rFonts w:eastAsia="仿宋_GB2312"/>
          <w:sz w:val="32"/>
          <w:szCs w:val="32"/>
        </w:rPr>
      </w:pPr>
      <w:r>
        <w:rPr>
          <w:rFonts w:eastAsia="楷体_GB2312"/>
          <w:bCs/>
          <w:sz w:val="32"/>
          <w:szCs w:val="32"/>
        </w:rPr>
        <w:t>提升研究开发服务能力。</w:t>
      </w:r>
      <w:r>
        <w:rPr>
          <w:rFonts w:eastAsia="仿宋_GB2312"/>
          <w:color w:val="000000"/>
          <w:sz w:val="32"/>
          <w:szCs w:val="32"/>
        </w:rPr>
        <w:t>加大重点技术装备创新和关键核心技术攻关，推动大型地震工程模拟研究设施、新一代超级计算机尽快具备承接国家重大任务的能力，布局建设合成生物技术创新中心、海河实验室等重大科技创新平台 。</w:t>
      </w:r>
      <w:r>
        <w:rPr>
          <w:rFonts w:eastAsia="仿宋_GB2312"/>
          <w:sz w:val="32"/>
          <w:szCs w:val="32"/>
        </w:rPr>
        <w:t>推动生物医药、新能源新材料、新一代人工智能等研发服务集聚化发展，鼓励企业依托自有研发部门发展与产业化方向紧密结合的新型研发组织和研发服务外包新业态，培育壮大第三方专业研发外包服务，推动研发外包企业技术水平、质量标准体系与国际接轨。</w:t>
      </w:r>
    </w:p>
    <w:p>
      <w:pPr>
        <w:adjustRightInd w:val="0"/>
        <w:snapToGrid w:val="0"/>
        <w:spacing w:line="560" w:lineRule="exact"/>
        <w:ind w:firstLine="643"/>
        <w:rPr>
          <w:rFonts w:eastAsia="仿宋_GB2312"/>
          <w:sz w:val="32"/>
          <w:szCs w:val="32"/>
        </w:rPr>
      </w:pPr>
      <w:r>
        <w:rPr>
          <w:rFonts w:eastAsia="楷体_GB2312"/>
          <w:bCs/>
          <w:sz w:val="32"/>
          <w:szCs w:val="32"/>
        </w:rPr>
        <w:t>健全技术转移服务链条。</w:t>
      </w:r>
      <w:r>
        <w:rPr>
          <w:rFonts w:eastAsia="仿宋_GB2312"/>
          <w:sz w:val="32"/>
          <w:szCs w:val="32"/>
        </w:rPr>
        <w:t>推进科研院所、国有企业科技成果转化收益分配权改革，完善政府引导、企业主导的技术转移体系，发展专业化技术转移机构。推动大学科技园建设成为高校成果转化“首站”和区域创新创业“核心孵化园”。</w:t>
      </w:r>
      <w:r>
        <w:rPr>
          <w:rFonts w:eastAsia="仿宋_GB2312"/>
          <w:bCs/>
          <w:sz w:val="32"/>
          <w:szCs w:val="32"/>
        </w:rPr>
        <w:t>支持滨海新区、东丽区高水平建设国家知识产权运营服务体系试点城区，以国家知识产权局专利局专利审查协作天津中心、中国（天津）知识产权保护中心、中国（滨海新区）知识产权保护中心等龙头机构为引领，集聚培育知识产权代理、法律、信息、咨询、培训、商用化等知识产权服务机构，引育一批具有自主知识产权、具备核心竞争力的企业。</w:t>
      </w:r>
    </w:p>
    <w:p>
      <w:pPr>
        <w:adjustRightInd w:val="0"/>
        <w:snapToGrid w:val="0"/>
        <w:spacing w:line="560" w:lineRule="exact"/>
        <w:ind w:firstLine="643"/>
        <w:rPr>
          <w:rFonts w:eastAsia="仿宋_GB2312"/>
          <w:bCs/>
          <w:sz w:val="32"/>
          <w:szCs w:val="32"/>
        </w:rPr>
      </w:pPr>
      <w:r>
        <w:rPr>
          <w:rFonts w:eastAsia="楷体_GB2312"/>
          <w:bCs/>
          <w:sz w:val="32"/>
          <w:szCs w:val="32"/>
        </w:rPr>
        <w:t>发展检验检测认证服务。</w:t>
      </w:r>
      <w:r>
        <w:rPr>
          <w:rFonts w:eastAsia="仿宋_GB2312"/>
          <w:bCs/>
          <w:sz w:val="32"/>
          <w:szCs w:val="32"/>
        </w:rPr>
        <w:t>鼓励检验检测领域的大企业平台化转型，发展面向研发、生产制造、售后全过程的检验检测服务，鼓励检验检测机构面向企业推广质量诊断、质量改进和效益提升方法。支持检验检测与认证一体化发展，鼓励开展技术咨询、标准研制、情报以及其他技术服务。鼓励中小检验检测机构组建检验检测联盟。在新材料、新能源、高端装备制造、节能环保、食品安全等重点领域培育一批专业化的检验检测机构。加强物联网、云计算、新能源汽车等战略性新兴产业领域检验检测能力建设。积极推动在智能制造产品认证、医疗器械质量管理认证、健康服务认证等产业领域开展质量体系认证，加大政府购买认证服务力度。鼓励不同所有制检验检测认证机构平等参与市场竞争，加快推进跨部门、跨行业、跨层级整合与并购重组，培育综合实力强大的检验检测认证集团。</w:t>
      </w:r>
    </w:p>
    <w:p>
      <w:pPr>
        <w:adjustRightInd w:val="0"/>
        <w:snapToGrid w:val="0"/>
        <w:spacing w:line="560" w:lineRule="exact"/>
        <w:ind w:firstLine="643"/>
        <w:rPr>
          <w:rFonts w:eastAsia="仿宋_GB2312"/>
          <w:sz w:val="32"/>
          <w:szCs w:val="32"/>
        </w:rPr>
      </w:pPr>
      <w:r>
        <w:rPr>
          <w:rFonts w:eastAsia="仿宋_GB2312"/>
          <w:sz w:val="32"/>
          <w:szCs w:val="32"/>
        </w:rPr>
        <w:t>6.设计服务</w:t>
      </w:r>
    </w:p>
    <w:p>
      <w:pPr>
        <w:adjustRightInd w:val="0"/>
        <w:snapToGrid w:val="0"/>
        <w:spacing w:line="560" w:lineRule="exact"/>
        <w:ind w:firstLine="640"/>
        <w:rPr>
          <w:rFonts w:eastAsia="仿宋_GB2312"/>
          <w:bCs/>
          <w:sz w:val="32"/>
          <w:szCs w:val="32"/>
        </w:rPr>
      </w:pPr>
      <w:r>
        <w:rPr>
          <w:rFonts w:eastAsia="仿宋_GB2312"/>
          <w:bCs/>
          <w:sz w:val="32"/>
          <w:szCs w:val="32"/>
        </w:rPr>
        <w:t>壮大专业化技术服务规模，集聚大型设计企业总部和机构，完善工程设计、工业设计、创意设计等设计服务体系，打造“设计之都”。</w:t>
      </w:r>
    </w:p>
    <w:tbl>
      <w:tblPr>
        <w:tblStyle w:val="2"/>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841" w:type="dxa"/>
            <w:noWrap w:val="0"/>
            <w:vAlign w:val="top"/>
          </w:tcPr>
          <w:p>
            <w:pPr>
              <w:spacing w:line="560" w:lineRule="exact"/>
              <w:contextualSpacing/>
              <w:jc w:val="center"/>
              <w:rPr>
                <w:rFonts w:eastAsia="黑体"/>
                <w:sz w:val="32"/>
                <w:szCs w:val="32"/>
              </w:rPr>
            </w:pPr>
            <w:r>
              <w:rPr>
                <w:rFonts w:hAnsi="黑体" w:eastAsia="黑体"/>
                <w:bCs/>
                <w:sz w:val="32"/>
                <w:szCs w:val="32"/>
              </w:rPr>
              <w:t>专栏</w:t>
            </w:r>
            <w:r>
              <w:rPr>
                <w:rFonts w:eastAsia="黑体"/>
                <w:bCs/>
                <w:sz w:val="32"/>
                <w:szCs w:val="32"/>
              </w:rPr>
              <w:t>1</w:t>
            </w:r>
            <w:r>
              <w:rPr>
                <w:rFonts w:hAnsi="黑体" w:eastAsia="黑体"/>
                <w:bCs/>
                <w:sz w:val="32"/>
                <w:szCs w:val="32"/>
              </w:rPr>
              <w:t>　</w:t>
            </w:r>
            <w:r>
              <w:rPr>
                <w:rFonts w:eastAsia="黑体"/>
                <w:bCs/>
                <w:sz w:val="32"/>
                <w:szCs w:val="32"/>
              </w:rPr>
              <w:t>“</w:t>
            </w:r>
            <w:r>
              <w:rPr>
                <w:rFonts w:hAnsi="黑体" w:eastAsia="黑体"/>
                <w:bCs/>
                <w:sz w:val="32"/>
                <w:szCs w:val="32"/>
              </w:rPr>
              <w:t>设计之都</w:t>
            </w:r>
            <w:r>
              <w:rPr>
                <w:rFonts w:eastAsia="黑体"/>
                <w:bCs/>
                <w:sz w:val="32"/>
                <w:szCs w:val="32"/>
              </w:rPr>
              <w:t>”</w:t>
            </w:r>
            <w:r>
              <w:rPr>
                <w:rFonts w:hAnsi="黑体" w:eastAsia="黑体"/>
                <w:bCs/>
                <w:sz w:val="32"/>
                <w:szCs w:val="32"/>
              </w:rPr>
              <w:t>载体建设</w:t>
            </w:r>
          </w:p>
          <w:p>
            <w:pPr>
              <w:adjustRightInd w:val="0"/>
              <w:snapToGrid w:val="0"/>
              <w:spacing w:line="560" w:lineRule="exact"/>
              <w:ind w:firstLine="640"/>
              <w:rPr>
                <w:rFonts w:eastAsia="仿宋_GB2312"/>
                <w:sz w:val="28"/>
                <w:szCs w:val="28"/>
              </w:rPr>
            </w:pPr>
            <w:r>
              <w:rPr>
                <w:rFonts w:eastAsia="仿宋_GB2312"/>
                <w:bCs/>
                <w:sz w:val="32"/>
                <w:szCs w:val="32"/>
              </w:rPr>
              <w:t>在海河柳林地区，构建以智慧城市和生态宜居为特征的天津“设计之都”核心区，将“设计之都”核心区打造成具有天津特色的创意设计街区，形成集生产、交易、服务、旅游、休闲等为一体的产业轴带；持续推进中新生态城智慧城市建设；支持建设各具特色的“设计之都示范园区”；在153公里海岸线生态功能提升、736平方公里双城间绿色生态屏障建设、我市4个湿地自然保护区升级改造中体现设计思维和理念，打造“生态宜居之城”。</w:t>
            </w:r>
          </w:p>
        </w:tc>
      </w:tr>
    </w:tbl>
    <w:p>
      <w:pPr>
        <w:adjustRightInd w:val="0"/>
        <w:snapToGrid w:val="0"/>
        <w:spacing w:line="560" w:lineRule="exact"/>
        <w:ind w:firstLine="643"/>
        <w:rPr>
          <w:sz w:val="32"/>
          <w:szCs w:val="32"/>
        </w:rPr>
      </w:pPr>
      <w:r>
        <w:rPr>
          <w:rFonts w:eastAsia="楷体_GB2312"/>
          <w:bCs/>
          <w:sz w:val="32"/>
          <w:szCs w:val="32"/>
        </w:rPr>
        <w:t>做大做强工程设计服务。</w:t>
      </w:r>
      <w:r>
        <w:rPr>
          <w:rFonts w:eastAsia="仿宋_GB2312"/>
          <w:bCs/>
          <w:sz w:val="32"/>
          <w:szCs w:val="32"/>
        </w:rPr>
        <w:t>大力发展城市复合设计、轨道交通、港口航运、市政工程、石油化工、水利水电等工程设计行业，推动工程设计领域有实力有条件的企业向一体化服务总集成总承包商转型，发展咨询设计、制造采购、施工安装、系统集成、运维管理等一揽子服务，提供全产业链、全生命周期服务。</w:t>
      </w:r>
    </w:p>
    <w:p>
      <w:pPr>
        <w:adjustRightInd w:val="0"/>
        <w:snapToGrid w:val="0"/>
        <w:spacing w:line="560" w:lineRule="exact"/>
        <w:ind w:firstLine="643"/>
        <w:rPr>
          <w:rFonts w:eastAsia="仿宋_GB2312"/>
          <w:bCs/>
          <w:sz w:val="32"/>
          <w:szCs w:val="32"/>
        </w:rPr>
      </w:pPr>
      <w:r>
        <w:rPr>
          <w:rFonts w:eastAsia="楷体_GB2312"/>
          <w:bCs/>
          <w:sz w:val="32"/>
          <w:szCs w:val="32"/>
        </w:rPr>
        <w:t>重点培育工业设计服务。</w:t>
      </w:r>
      <w:r>
        <w:rPr>
          <w:rFonts w:eastAsia="仿宋_GB2312"/>
          <w:bCs/>
          <w:sz w:val="32"/>
          <w:szCs w:val="32"/>
        </w:rPr>
        <w:t>加强工业设计基础研究和关键共性技术研发，建设工业设计资源数据库、成果展示库、3D打印中心、工程实验室等工业设计服务平台，完善工业设计服务体系。加强新技术、新工艺、新材料应用，支持制造业企业设立独立的工业设计中心，引导成长为国家级工业设计中心，对列入市级培育和国家级工业设计中心给予扶持，鼓励制造业企业开放设计中心业务，提供顶层设计、战略咨询、设计推广等一站式服务。</w:t>
      </w:r>
    </w:p>
    <w:p>
      <w:pPr>
        <w:adjustRightInd w:val="0"/>
        <w:snapToGrid w:val="0"/>
        <w:spacing w:line="560" w:lineRule="exact"/>
        <w:rPr>
          <w:rFonts w:eastAsia="仿宋_GB2312"/>
          <w:bCs/>
          <w:sz w:val="32"/>
          <w:szCs w:val="32"/>
        </w:rPr>
      </w:pPr>
      <w:r>
        <w:rPr>
          <w:rFonts w:eastAsia="楷体_GB2312"/>
          <w:bCs/>
          <w:sz w:val="32"/>
          <w:szCs w:val="32"/>
        </w:rPr>
        <w:t xml:space="preserve">    发展创意设计服务。</w:t>
      </w:r>
      <w:r>
        <w:rPr>
          <w:rFonts w:eastAsia="仿宋_GB2312"/>
          <w:bCs/>
          <w:sz w:val="32"/>
          <w:szCs w:val="32"/>
        </w:rPr>
        <w:t>深入挖掘城市文化底蕴和特色，大力发展视觉艺术创作、视觉传播设计、影视新媒体制作、动漫艺术等高端业态，提高产品文化内涵与附加值。鼓励创意设计企业“专精特新”发展，打造创意设计产业集群。鼓励有条件的企业设立创意设计中心、首席设计师。支持创意设计专业园区建设，形成研发、展示、采购、生产、销售一体化的产业集聚区。</w:t>
      </w:r>
    </w:p>
    <w:p>
      <w:pPr>
        <w:adjustRightInd w:val="0"/>
        <w:snapToGrid w:val="0"/>
        <w:spacing w:line="560" w:lineRule="exact"/>
        <w:ind w:firstLine="643"/>
        <w:rPr>
          <w:rFonts w:eastAsia="仿宋_GB2312"/>
          <w:sz w:val="32"/>
          <w:szCs w:val="32"/>
        </w:rPr>
      </w:pPr>
      <w:bookmarkStart w:id="39" w:name="_Toc31699"/>
      <w:r>
        <w:rPr>
          <w:rFonts w:eastAsia="仿宋_GB2312"/>
          <w:sz w:val="32"/>
          <w:szCs w:val="32"/>
        </w:rPr>
        <w:t>7.信创服务</w:t>
      </w:r>
      <w:bookmarkEnd w:id="39"/>
    </w:p>
    <w:p>
      <w:pPr>
        <w:adjustRightInd w:val="0"/>
        <w:snapToGrid w:val="0"/>
        <w:spacing w:line="560" w:lineRule="exact"/>
        <w:ind w:firstLine="640"/>
        <w:rPr>
          <w:rFonts w:eastAsia="仿宋_GB2312"/>
          <w:bCs/>
          <w:sz w:val="32"/>
          <w:szCs w:val="32"/>
        </w:rPr>
      </w:pPr>
      <w:r>
        <w:rPr>
          <w:rFonts w:eastAsia="仿宋_GB2312"/>
          <w:bCs/>
          <w:sz w:val="32"/>
          <w:szCs w:val="32"/>
        </w:rPr>
        <w:t>紧紧围绕打造“中国信创谷”，加强信创服务基础设施建设，发展软件开发应用、IC设计、信息安全服务等信创服务，打造国内领先、具有国际影响力的信创服务业聚集区。</w:t>
      </w:r>
    </w:p>
    <w:tbl>
      <w:tblPr>
        <w:tblStyle w:val="2"/>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841" w:type="dxa"/>
            <w:noWrap w:val="0"/>
            <w:vAlign w:val="top"/>
          </w:tcPr>
          <w:p>
            <w:pPr>
              <w:spacing w:line="560" w:lineRule="exact"/>
              <w:contextualSpacing/>
              <w:jc w:val="center"/>
              <w:rPr>
                <w:rFonts w:eastAsia="黑体"/>
                <w:sz w:val="32"/>
                <w:szCs w:val="32"/>
              </w:rPr>
            </w:pPr>
            <w:r>
              <w:rPr>
                <w:rFonts w:hAnsi="黑体" w:eastAsia="黑体"/>
                <w:bCs/>
                <w:sz w:val="32"/>
                <w:szCs w:val="32"/>
              </w:rPr>
              <w:t>专栏</w:t>
            </w:r>
            <w:r>
              <w:rPr>
                <w:rFonts w:eastAsia="黑体"/>
                <w:bCs/>
                <w:sz w:val="32"/>
                <w:szCs w:val="32"/>
              </w:rPr>
              <w:t>2</w:t>
            </w:r>
            <w:r>
              <w:rPr>
                <w:rFonts w:hAnsi="黑体" w:eastAsia="黑体"/>
                <w:bCs/>
                <w:sz w:val="32"/>
                <w:szCs w:val="32"/>
              </w:rPr>
              <w:t>　推动建设</w:t>
            </w:r>
            <w:r>
              <w:rPr>
                <w:rFonts w:eastAsia="黑体"/>
                <w:bCs/>
                <w:sz w:val="32"/>
                <w:szCs w:val="32"/>
              </w:rPr>
              <w:t>“</w:t>
            </w:r>
            <w:r>
              <w:rPr>
                <w:rFonts w:hAnsi="黑体" w:eastAsia="黑体"/>
                <w:bCs/>
                <w:sz w:val="32"/>
                <w:szCs w:val="32"/>
              </w:rPr>
              <w:t>中国信创谷</w:t>
            </w:r>
            <w:r>
              <w:rPr>
                <w:rFonts w:eastAsia="黑体"/>
                <w:bCs/>
                <w:sz w:val="32"/>
                <w:szCs w:val="32"/>
              </w:rPr>
              <w:t>”</w:t>
            </w:r>
          </w:p>
          <w:p>
            <w:pPr>
              <w:adjustRightInd w:val="0"/>
              <w:snapToGrid w:val="0"/>
              <w:spacing w:line="560" w:lineRule="exact"/>
              <w:ind w:firstLine="640"/>
              <w:rPr>
                <w:rFonts w:eastAsia="仿宋_GB2312"/>
                <w:bCs/>
                <w:sz w:val="32"/>
                <w:szCs w:val="32"/>
              </w:rPr>
            </w:pPr>
            <w:r>
              <w:rPr>
                <w:rFonts w:eastAsia="仿宋_GB2312"/>
                <w:bCs/>
                <w:sz w:val="32"/>
                <w:szCs w:val="32"/>
              </w:rPr>
              <w:t>立足本地产业特色及资源优势，做大做强信创产业基础硬件、软件系统、信创+服务核心三链，实现经济强力支撑。释放龙头企业平台优势，做实信息安全一大保障。深化特色资源创新支撑，做精军民融合一大特色，系统化构建“311”信创产业体系，打造世界级产业集群。</w:t>
            </w:r>
          </w:p>
          <w:p>
            <w:pPr>
              <w:adjustRightInd w:val="0"/>
              <w:snapToGrid w:val="0"/>
              <w:spacing w:line="560" w:lineRule="exact"/>
              <w:ind w:firstLine="640"/>
              <w:rPr>
                <w:rFonts w:eastAsia="仿宋_GB2312"/>
                <w:bCs/>
                <w:sz w:val="32"/>
                <w:szCs w:val="32"/>
              </w:rPr>
            </w:pPr>
            <w:r>
              <w:rPr>
                <w:rFonts w:eastAsia="仿宋_GB2312"/>
                <w:bCs/>
                <w:sz w:val="32"/>
                <w:szCs w:val="32"/>
              </w:rPr>
              <w:t>着力提升滨海高新区海洋片区开发建设水平，遵循产业专业集聚发展和城市功能关联集中的基本原则，全面优化产业空间布局，构建“北产能、南动能、东孵化、中聚核”的“三区一核”的空间结构，打造产城有机融合、创新创业活跃的宜居宜业生态科技新城。</w:t>
            </w:r>
          </w:p>
          <w:p>
            <w:pPr>
              <w:adjustRightInd w:val="0"/>
              <w:snapToGrid w:val="0"/>
              <w:spacing w:line="560" w:lineRule="exact"/>
              <w:ind w:firstLine="640"/>
              <w:rPr>
                <w:rFonts w:eastAsia="仿宋_GB2312"/>
                <w:sz w:val="28"/>
                <w:szCs w:val="28"/>
              </w:rPr>
            </w:pPr>
            <w:r>
              <w:rPr>
                <w:rFonts w:eastAsia="仿宋_GB2312"/>
                <w:bCs/>
                <w:sz w:val="32"/>
                <w:szCs w:val="32"/>
              </w:rPr>
              <w:t>围绕信创产业建设需求，实施“主体引聚、平台搭建、场景驱动、金融赋能、群体突破”五大工程，构建政产学研用金服一体化联合创新生态。</w:t>
            </w:r>
          </w:p>
        </w:tc>
      </w:tr>
    </w:tbl>
    <w:p>
      <w:pPr>
        <w:adjustRightInd w:val="0"/>
        <w:snapToGrid w:val="0"/>
        <w:spacing w:line="560" w:lineRule="exact"/>
        <w:ind w:firstLine="643"/>
        <w:rPr>
          <w:rFonts w:eastAsia="仿宋_GB2312"/>
          <w:bCs/>
          <w:sz w:val="32"/>
          <w:szCs w:val="32"/>
        </w:rPr>
      </w:pPr>
      <w:r>
        <w:rPr>
          <w:rFonts w:eastAsia="楷体_GB2312"/>
          <w:bCs/>
          <w:sz w:val="32"/>
          <w:szCs w:val="32"/>
        </w:rPr>
        <w:t>推动信创技术服务发展。</w:t>
      </w:r>
      <w:r>
        <w:rPr>
          <w:rFonts w:eastAsia="仿宋_GB2312"/>
          <w:bCs/>
          <w:sz w:val="32"/>
          <w:szCs w:val="32"/>
        </w:rPr>
        <w:t>加快国家级先进操作系统创新中心、数据库适配验证中心等平台项目建设，做强基础软件链条。加快推动天津鲲鹏生态创新中心、国家应用示范天津基地建设，支持企业开发符合开放标准的嵌入式软件开发平台、嵌入式操作系统和智能通信软件，</w:t>
      </w:r>
      <w:r>
        <w:rPr>
          <w:rFonts w:eastAsia="仿宋_GB2312"/>
          <w:bCs/>
          <w:sz w:val="32"/>
          <w:szCs w:val="32"/>
          <w:lang w:eastAsia="zh-Hans"/>
        </w:rPr>
        <w:t>引导企业推出定制化“信创</w:t>
      </w:r>
      <w:r>
        <w:rPr>
          <w:rFonts w:eastAsia="仿宋_GB2312"/>
          <w:bCs/>
          <w:sz w:val="32"/>
          <w:szCs w:val="32"/>
        </w:rPr>
        <w:t>+”整体解决方案，拓展应用软件链条。推动各行业信息系统向云平台迁移，重点发展PaaS、SaaS领域的云计算服务。推进大数据通用处理、海量数据存储管理等关键技术研发和产业化，重点发展数据外包、数据交易等大数据服务。</w:t>
      </w:r>
    </w:p>
    <w:p>
      <w:pPr>
        <w:adjustRightInd w:val="0"/>
        <w:snapToGrid w:val="0"/>
        <w:spacing w:line="560" w:lineRule="exact"/>
        <w:ind w:firstLine="643"/>
        <w:rPr>
          <w:rFonts w:eastAsia="仿宋_GB2312"/>
          <w:bCs/>
          <w:sz w:val="32"/>
          <w:szCs w:val="32"/>
        </w:rPr>
      </w:pPr>
      <w:r>
        <w:rPr>
          <w:rFonts w:eastAsia="楷体_GB2312"/>
          <w:bCs/>
          <w:sz w:val="32"/>
          <w:szCs w:val="32"/>
        </w:rPr>
        <w:t>大力发展IC设计。</w:t>
      </w:r>
      <w:r>
        <w:rPr>
          <w:rFonts w:eastAsia="仿宋_GB2312"/>
          <w:bCs/>
          <w:sz w:val="32"/>
          <w:szCs w:val="32"/>
        </w:rPr>
        <w:t>扩大产业优势，在数字电视、智能手机、物联网、三网融合等领域形成系列化IC产品。大力发展系统级芯片（SoC）、通信芯片、物联网传感器芯片、射频标签（RFID）芯片、数字电视IC设计等领域。加快IC设计与下游制造业融合发展，培育全产业链竞争优势，重点向汽车电子、工业控制、消费电子等制造应用领域拓展。</w:t>
      </w:r>
    </w:p>
    <w:p>
      <w:pPr>
        <w:widowControl/>
        <w:snapToGrid w:val="0"/>
        <w:spacing w:line="560" w:lineRule="exact"/>
        <w:ind w:firstLine="640" w:firstLineChars="200"/>
        <w:rPr>
          <w:rFonts w:eastAsia="仿宋_GB2312"/>
          <w:b/>
          <w:sz w:val="32"/>
          <w:szCs w:val="32"/>
        </w:rPr>
      </w:pPr>
      <w:bookmarkStart w:id="40" w:name="_Toc1869"/>
      <w:r>
        <w:rPr>
          <w:rFonts w:eastAsia="楷体_GB2312"/>
          <w:bCs/>
          <w:sz w:val="32"/>
          <w:szCs w:val="32"/>
        </w:rPr>
        <w:t>前瞻布局信息安全服务</w:t>
      </w:r>
      <w:bookmarkEnd w:id="40"/>
      <w:r>
        <w:rPr>
          <w:rFonts w:eastAsia="楷体_GB2312"/>
          <w:bCs/>
          <w:sz w:val="32"/>
          <w:szCs w:val="32"/>
        </w:rPr>
        <w:t>。</w:t>
      </w:r>
      <w:r>
        <w:rPr>
          <w:rFonts w:eastAsia="仿宋_GB2312"/>
          <w:sz w:val="32"/>
          <w:szCs w:val="32"/>
        </w:rPr>
        <w:t>围绕保障国家安全、城市安全、产业安全及网络安全等场景需求，大力发展信息安全产品、信息安全服务、行业应用安全以及安全评估、安全培训、安全检测等全链条安全服务。</w:t>
      </w:r>
      <w:r>
        <w:rPr>
          <w:rFonts w:eastAsia="仿宋_GB2312"/>
          <w:sz w:val="32"/>
          <w:szCs w:val="32"/>
          <w:lang w:eastAsia="zh-Hans"/>
        </w:rPr>
        <w:t>搭建“城市安全大脑”</w:t>
      </w:r>
      <w:r>
        <w:rPr>
          <w:rFonts w:eastAsia="仿宋_GB2312"/>
          <w:sz w:val="32"/>
          <w:szCs w:val="32"/>
        </w:rPr>
        <w:t>以及</w:t>
      </w:r>
      <w:r>
        <w:rPr>
          <w:rFonts w:eastAsia="仿宋_GB2312"/>
          <w:sz w:val="32"/>
          <w:szCs w:val="32"/>
          <w:lang w:eastAsia="zh-Hans"/>
        </w:rPr>
        <w:t>全国最大的网络安全平台和网络空间安全基地</w:t>
      </w:r>
      <w:r>
        <w:rPr>
          <w:rFonts w:eastAsia="仿宋_GB2312"/>
          <w:sz w:val="32"/>
          <w:szCs w:val="32"/>
        </w:rPr>
        <w:t>，推动信创安全基地建设。积极布局区块链安全服务，开展区块链技术性能瓶颈与系统安全性的平衡、隐私保护及数据检索安全等前瞻性研究，引进落地一批区块链技术重点项目。</w:t>
      </w:r>
    </w:p>
    <w:p>
      <w:pPr>
        <w:keepNext/>
        <w:keepLines/>
        <w:snapToGrid w:val="0"/>
        <w:spacing w:line="560" w:lineRule="exact"/>
        <w:ind w:firstLine="801"/>
        <w:outlineLvl w:val="1"/>
        <w:rPr>
          <w:rFonts w:eastAsia="楷体_GB2312"/>
          <w:kern w:val="0"/>
          <w:sz w:val="32"/>
          <w:szCs w:val="24"/>
        </w:rPr>
      </w:pPr>
      <w:bookmarkStart w:id="41" w:name="_Toc1206352092"/>
      <w:bookmarkStart w:id="42" w:name="_Toc1928706325_WPSOffice_Level2"/>
      <w:bookmarkStart w:id="43" w:name="_Toc26332"/>
      <w:r>
        <w:rPr>
          <w:rFonts w:eastAsia="楷体_GB2312"/>
          <w:kern w:val="0"/>
          <w:sz w:val="32"/>
          <w:szCs w:val="24"/>
        </w:rPr>
        <w:t>（二）加快生活性服务业向高品质多样化发展</w:t>
      </w:r>
      <w:bookmarkEnd w:id="41"/>
      <w:bookmarkEnd w:id="42"/>
      <w:bookmarkEnd w:id="43"/>
    </w:p>
    <w:p>
      <w:pPr>
        <w:adjustRightInd w:val="0"/>
        <w:snapToGrid w:val="0"/>
        <w:spacing w:line="560" w:lineRule="exact"/>
        <w:ind w:firstLine="640"/>
        <w:rPr>
          <w:rFonts w:eastAsia="仿宋_GB2312"/>
          <w:bCs/>
          <w:sz w:val="32"/>
          <w:szCs w:val="32"/>
        </w:rPr>
      </w:pPr>
      <w:r>
        <w:rPr>
          <w:rFonts w:eastAsia="仿宋_GB2312"/>
          <w:bCs/>
          <w:sz w:val="32"/>
          <w:szCs w:val="32"/>
        </w:rPr>
        <w:t>积极践行“以人民为中心”的发展思想，大力发展幸福产业，推进数字化技术渗透融合，不断提高服务供给的质量和水平，促进生活性服务业精细化、便利化、品质化、品牌化、特色化“五化”发展，更好满足多层次多样化服务需求。</w:t>
      </w:r>
    </w:p>
    <w:p>
      <w:pPr>
        <w:adjustRightInd w:val="0"/>
        <w:snapToGrid w:val="0"/>
        <w:spacing w:line="560" w:lineRule="exact"/>
        <w:ind w:firstLine="643"/>
        <w:rPr>
          <w:rFonts w:eastAsia="仿宋_GB2312"/>
          <w:sz w:val="32"/>
          <w:szCs w:val="32"/>
        </w:rPr>
      </w:pPr>
      <w:bookmarkStart w:id="44" w:name="_Toc1014"/>
      <w:r>
        <w:rPr>
          <w:rFonts w:eastAsia="仿宋_GB2312"/>
          <w:sz w:val="32"/>
          <w:szCs w:val="32"/>
        </w:rPr>
        <w:t>1.商贸服务</w:t>
      </w:r>
      <w:bookmarkEnd w:id="44"/>
    </w:p>
    <w:p>
      <w:pPr>
        <w:adjustRightInd w:val="0"/>
        <w:snapToGrid w:val="0"/>
        <w:spacing w:line="560" w:lineRule="exact"/>
        <w:ind w:firstLine="640"/>
        <w:rPr>
          <w:rFonts w:eastAsia="仿宋_GB2312"/>
          <w:bCs/>
          <w:sz w:val="32"/>
          <w:szCs w:val="32"/>
        </w:rPr>
      </w:pPr>
      <w:r>
        <w:rPr>
          <w:rFonts w:eastAsia="仿宋_GB2312"/>
          <w:bCs/>
          <w:color w:val="000000"/>
          <w:sz w:val="32"/>
          <w:szCs w:val="32"/>
        </w:rPr>
        <w:t>重点发展电子商务，大力培育发展商贸新业态新模式，加快提升商贸产业整体质量和水平，打造高能级现代化的商贸服务体系。</w:t>
      </w:r>
    </w:p>
    <w:p>
      <w:pPr>
        <w:widowControl/>
        <w:shd w:val="clear" w:color="auto" w:fill="FFFFFF"/>
        <w:snapToGrid w:val="0"/>
        <w:spacing w:line="560" w:lineRule="exact"/>
        <w:ind w:firstLine="643"/>
        <w:rPr>
          <w:color w:val="333333"/>
          <w:kern w:val="0"/>
          <w:sz w:val="32"/>
          <w:szCs w:val="32"/>
        </w:rPr>
      </w:pPr>
      <w:r>
        <w:rPr>
          <w:rFonts w:eastAsia="楷体_GB2312"/>
          <w:bCs/>
          <w:sz w:val="32"/>
          <w:szCs w:val="32"/>
        </w:rPr>
        <w:t>发展壮大电子商务。</w:t>
      </w:r>
      <w:r>
        <w:rPr>
          <w:rFonts w:eastAsia="仿宋_GB2312"/>
          <w:bCs/>
          <w:color w:val="000000"/>
          <w:sz w:val="32"/>
          <w:szCs w:val="32"/>
        </w:rPr>
        <w:t>加快培育发展专业化网络零售平台，依托我市优势产业培养壮大一批行业电子商务平台，不断扩大网商规模。深化普及电子商务应用，</w:t>
      </w:r>
      <w:r>
        <w:rPr>
          <w:rFonts w:eastAsia="仿宋_GB2312"/>
          <w:bCs/>
          <w:sz w:val="32"/>
          <w:szCs w:val="32"/>
        </w:rPr>
        <w:t>鼓励中小微零售、餐饮企业、批发商企业积极应用第三方电子商务平台，</w:t>
      </w:r>
      <w:r>
        <w:rPr>
          <w:rFonts w:eastAsia="仿宋_GB2312"/>
          <w:bCs/>
          <w:color w:val="000000"/>
          <w:sz w:val="32"/>
          <w:szCs w:val="32"/>
        </w:rPr>
        <w:t>推广O2O模式，实现线上线下一体化发展，促进商品流通和扩大消费。促进跨境电子商务发展，</w:t>
      </w:r>
      <w:r>
        <w:rPr>
          <w:rFonts w:eastAsia="仿宋_GB2312"/>
          <w:bCs/>
          <w:sz w:val="32"/>
          <w:szCs w:val="32"/>
        </w:rPr>
        <w:t>提升跨境电子商务综合试验区功能，引导传统出口制造企业拓展跨境电商模式，鼓励跨境电商企业建设海外仓。</w:t>
      </w:r>
      <w:r>
        <w:rPr>
          <w:rFonts w:eastAsia="仿宋_GB2312"/>
          <w:bCs/>
          <w:color w:val="000000"/>
          <w:sz w:val="32"/>
          <w:szCs w:val="32"/>
        </w:rPr>
        <w:t>大力推进电子商务进农村，实现电商富农。</w:t>
      </w:r>
    </w:p>
    <w:p>
      <w:pPr>
        <w:adjustRightInd w:val="0"/>
        <w:snapToGrid w:val="0"/>
        <w:spacing w:line="560" w:lineRule="exact"/>
        <w:ind w:firstLine="643"/>
        <w:rPr>
          <w:sz w:val="32"/>
          <w:szCs w:val="32"/>
        </w:rPr>
      </w:pPr>
      <w:r>
        <w:rPr>
          <w:rFonts w:eastAsia="楷体_GB2312"/>
          <w:bCs/>
          <w:sz w:val="32"/>
          <w:szCs w:val="32"/>
        </w:rPr>
        <w:t>培育发展商贸新模式新业态。</w:t>
      </w:r>
      <w:r>
        <w:rPr>
          <w:rFonts w:eastAsia="仿宋_GB2312"/>
          <w:bCs/>
          <w:sz w:val="32"/>
          <w:szCs w:val="32"/>
        </w:rPr>
        <w:t xml:space="preserve">大力培育发展无人销售店、智能零售等新模式、新业态、新消费。鼓励发展买手店、定制店等体验式业态，布局完善线下体验中心。鼓励国内外知名品牌商和零售商开设品牌首店、旗舰店，引进一批全球首店、全国首店、区域首店。大力发展品牌连锁便利店，优化便利店区域布局，完善便利店物流配送网络，支持品牌连锁便利店进小区、进园区、进机关、进学校、进医院。 </w:t>
      </w:r>
    </w:p>
    <w:p>
      <w:pPr>
        <w:adjustRightInd w:val="0"/>
        <w:snapToGrid w:val="0"/>
        <w:spacing w:line="560" w:lineRule="exact"/>
        <w:ind w:firstLine="643"/>
        <w:rPr>
          <w:rFonts w:eastAsia="仿宋_GB2312"/>
          <w:sz w:val="32"/>
          <w:szCs w:val="32"/>
        </w:rPr>
      </w:pPr>
      <w:bookmarkStart w:id="45" w:name="_Toc23097"/>
      <w:r>
        <w:rPr>
          <w:rFonts w:eastAsia="仿宋_GB2312"/>
          <w:sz w:val="32"/>
          <w:szCs w:val="32"/>
        </w:rPr>
        <w:t>2.健康</w:t>
      </w:r>
      <w:bookmarkEnd w:id="45"/>
      <w:r>
        <w:rPr>
          <w:rFonts w:eastAsia="仿宋_GB2312"/>
          <w:sz w:val="32"/>
          <w:szCs w:val="32"/>
        </w:rPr>
        <w:t>服务</w:t>
      </w:r>
    </w:p>
    <w:p>
      <w:pPr>
        <w:adjustRightInd w:val="0"/>
        <w:snapToGrid w:val="0"/>
        <w:spacing w:line="560" w:lineRule="exact"/>
        <w:ind w:firstLine="640"/>
        <w:rPr>
          <w:rFonts w:eastAsia="仿宋_GB2312"/>
          <w:bCs/>
          <w:sz w:val="32"/>
          <w:szCs w:val="32"/>
        </w:rPr>
      </w:pPr>
      <w:r>
        <w:rPr>
          <w:rFonts w:eastAsia="仿宋_GB2312"/>
          <w:bCs/>
          <w:sz w:val="32"/>
          <w:szCs w:val="32"/>
        </w:rPr>
        <w:t>深入落实“健康中国2030”规划纲要，优化发展健康医疗服务，大力发展健康管理服务和养老养生服务，积极培育智慧医疗健康新业态，不断满足人民多层次、多样化健康服务需求。</w:t>
      </w:r>
    </w:p>
    <w:p>
      <w:pPr>
        <w:adjustRightInd w:val="0"/>
        <w:snapToGrid w:val="0"/>
        <w:spacing w:line="560" w:lineRule="exact"/>
        <w:ind w:firstLine="643"/>
        <w:rPr>
          <w:rFonts w:eastAsia="仿宋_GB2312"/>
          <w:bCs/>
          <w:sz w:val="32"/>
          <w:szCs w:val="32"/>
        </w:rPr>
      </w:pPr>
      <w:r>
        <w:rPr>
          <w:rFonts w:eastAsia="楷体_GB2312"/>
          <w:bCs/>
          <w:sz w:val="32"/>
          <w:szCs w:val="32"/>
        </w:rPr>
        <w:t>健康医疗服务。</w:t>
      </w:r>
      <w:r>
        <w:rPr>
          <w:rFonts w:eastAsia="仿宋_GB2312"/>
          <w:bCs/>
          <w:sz w:val="32"/>
          <w:szCs w:val="32"/>
        </w:rPr>
        <w:t>促进社会办医持续健康发展，鼓励社会资本进入医疗服务业，发展高端医疗、康复疗养、老年护理等领域。引导发展专业的医学检验实验室、医学影像诊断中心和病理诊断中心、医疗消毒供应中心等第三方服务机构。加快推进国际化医院试点，构建国际化医疗服务体系，加强国际大型赛事活动医疗保障。健全中医药服务体系，加强中医医疗机构建设，加快实施中医药研究院二期等项目，推进国家中医针灸临床医学研究中心和组分中药国家重点实验室建设运行，兴办连锁中医医疗机构，提高中医医疗服务能力。发展智能健康与医疗，深入开展</w:t>
      </w:r>
      <w:r>
        <w:rPr>
          <w:rFonts w:eastAsia="仿宋_GB2312"/>
          <w:bCs/>
          <w:color w:val="000000"/>
          <w:sz w:val="32"/>
          <w:szCs w:val="32"/>
        </w:rPr>
        <w:t>“互联网+医疗健康”服务体系建设，鼓励互联网医院规范发展，推动健康医疗大数据汇聚应用，培育一批以线上诊疗、远程医疗、健康管理、新兴技术与卫生健康资源融合创新等为重点的智能健康与医疗新业态。</w:t>
      </w:r>
    </w:p>
    <w:p>
      <w:pPr>
        <w:adjustRightInd w:val="0"/>
        <w:snapToGrid w:val="0"/>
        <w:spacing w:line="560" w:lineRule="exact"/>
        <w:ind w:firstLine="643"/>
        <w:rPr>
          <w:rFonts w:eastAsia="仿宋_GB2312"/>
          <w:bCs/>
          <w:sz w:val="32"/>
          <w:szCs w:val="32"/>
        </w:rPr>
      </w:pPr>
      <w:r>
        <w:rPr>
          <w:rFonts w:eastAsia="楷体_GB2312"/>
          <w:bCs/>
          <w:sz w:val="32"/>
          <w:szCs w:val="32"/>
        </w:rPr>
        <w:t>健康管理服务。</w:t>
      </w:r>
      <w:r>
        <w:rPr>
          <w:rFonts w:eastAsia="仿宋_GB2312"/>
          <w:bCs/>
          <w:sz w:val="32"/>
          <w:szCs w:val="32"/>
        </w:rPr>
        <w:t>大力发展健康信息档案、健康检测、健康干预、慢病管理、家庭医生、健康咨询、健康保险等健康管理产业。支持0-3岁托育服务机构发展，培育发展精神疾病康复、心理治疗、健康体检、疾病早期筛查等机构，提供职业病健康管理服务。推进家庭医生签约服务，组建由全科医生、中医师、公共卫生医师、家庭护士、健康管理师等构成的健康管理服务团队，为签约对象提供个性化健康管理服务。</w:t>
      </w:r>
    </w:p>
    <w:p>
      <w:pPr>
        <w:adjustRightInd w:val="0"/>
        <w:snapToGrid w:val="0"/>
        <w:spacing w:line="560" w:lineRule="exact"/>
        <w:ind w:firstLine="643"/>
        <w:rPr>
          <w:rFonts w:eastAsia="仿宋_GB2312"/>
          <w:bCs/>
          <w:sz w:val="32"/>
          <w:szCs w:val="32"/>
        </w:rPr>
      </w:pPr>
      <w:r>
        <w:rPr>
          <w:rFonts w:eastAsia="楷体_GB2312"/>
          <w:bCs/>
          <w:sz w:val="32"/>
          <w:szCs w:val="32"/>
        </w:rPr>
        <w:t>养老养生服务。</w:t>
      </w:r>
      <w:r>
        <w:rPr>
          <w:rFonts w:eastAsia="仿宋_GB2312"/>
          <w:bCs/>
          <w:sz w:val="32"/>
          <w:szCs w:val="32"/>
        </w:rPr>
        <w:t>大力推进医疗服务机构与养老服务机构深度融合，鼓励社会资本投资建设以老年照护、康复护理、疗养医院等为主要内容的养老服务综合体，为老年人提供生活照料、文体娱乐、精神慰藉、医疗保健、康复护理、安宁疗护、紧急救援等养老服务。积极发展社区养老，探索社区嵌入式养老服务模式，持续建设社区日间照料中心，加快构建“互联网+养老服务”模式，探索长期护理保险制度，打造养老服务“15分钟”服务圈。从注重疾病治疗向注重健康维护转变，推进中医“治未病”服务，促进中医养生保健与互联网、养老、旅游等产业协同融合发展。</w:t>
      </w:r>
    </w:p>
    <w:p>
      <w:pPr>
        <w:adjustRightInd w:val="0"/>
        <w:snapToGrid w:val="0"/>
        <w:spacing w:line="560" w:lineRule="exact"/>
        <w:ind w:firstLine="643"/>
        <w:rPr>
          <w:rFonts w:eastAsia="仿宋_GB2312"/>
          <w:bCs/>
          <w:sz w:val="32"/>
          <w:szCs w:val="32"/>
        </w:rPr>
      </w:pPr>
      <w:r>
        <w:rPr>
          <w:rFonts w:eastAsia="楷体_GB2312"/>
          <w:bCs/>
          <w:sz w:val="32"/>
          <w:szCs w:val="32"/>
        </w:rPr>
        <w:t>体育服务。</w:t>
      </w:r>
      <w:r>
        <w:rPr>
          <w:rFonts w:eastAsia="仿宋_GB2312"/>
          <w:bCs/>
          <w:sz w:val="32"/>
          <w:szCs w:val="32"/>
        </w:rPr>
        <w:t>加快发展健身休闲、竞赛表演、场馆服务、中介培训等体育服务业，推动体育与文化创意和设计服务、教育培训、信息科技等融合发展。完善体育公共服务体系，打造一批集全民健身、体育培训、竞赛表演、休闲娱乐、展示展销于一体的体育服务综合体。提升竞技体育综合实力，引进和打造一批国际性、区域性体育专业赛事，策划一批马拉松、汽车拉力赛、越野赛等体育竞赛活动。持续开展体育惠民活动，推动全民健身服务和体育消费。</w:t>
      </w:r>
    </w:p>
    <w:p>
      <w:pPr>
        <w:adjustRightInd w:val="0"/>
        <w:snapToGrid w:val="0"/>
        <w:spacing w:line="560" w:lineRule="exact"/>
        <w:ind w:firstLine="643"/>
        <w:rPr>
          <w:rFonts w:eastAsia="仿宋_GB2312"/>
          <w:sz w:val="32"/>
          <w:szCs w:val="32"/>
        </w:rPr>
      </w:pPr>
      <w:bookmarkStart w:id="46" w:name="_Toc13863"/>
      <w:r>
        <w:rPr>
          <w:rFonts w:eastAsia="仿宋_GB2312"/>
          <w:sz w:val="32"/>
          <w:szCs w:val="32"/>
        </w:rPr>
        <w:t>3.文</w:t>
      </w:r>
      <w:bookmarkEnd w:id="46"/>
      <w:r>
        <w:rPr>
          <w:rFonts w:eastAsia="仿宋_GB2312"/>
          <w:sz w:val="32"/>
          <w:szCs w:val="32"/>
        </w:rPr>
        <w:t>化旅游</w:t>
      </w:r>
    </w:p>
    <w:p>
      <w:pPr>
        <w:adjustRightInd w:val="0"/>
        <w:snapToGrid w:val="0"/>
        <w:spacing w:line="560" w:lineRule="exact"/>
        <w:ind w:firstLine="640"/>
        <w:rPr>
          <w:rFonts w:eastAsia="仿宋_GB2312"/>
          <w:bCs/>
          <w:sz w:val="32"/>
          <w:szCs w:val="32"/>
        </w:rPr>
      </w:pPr>
      <w:r>
        <w:rPr>
          <w:rFonts w:eastAsia="仿宋_GB2312"/>
          <w:sz w:val="32"/>
          <w:szCs w:val="32"/>
        </w:rPr>
        <w:t>坚持“以文塑旅、以旅彰文”发展理念，通过重点项目引领、业态创新、品牌塑造，把天津市建成国际旅游目的地和集散地、国家文化和旅游消费示范城市。</w:t>
      </w:r>
    </w:p>
    <w:p>
      <w:pPr>
        <w:adjustRightInd w:val="0"/>
        <w:snapToGrid w:val="0"/>
        <w:spacing w:line="560" w:lineRule="exact"/>
        <w:ind w:firstLine="643"/>
        <w:rPr>
          <w:rFonts w:eastAsia="仿宋_GB2312"/>
          <w:bCs/>
          <w:sz w:val="32"/>
          <w:szCs w:val="32"/>
        </w:rPr>
      </w:pPr>
      <w:r>
        <w:rPr>
          <w:rFonts w:eastAsia="楷体_GB2312"/>
          <w:bCs/>
          <w:sz w:val="32"/>
          <w:szCs w:val="32"/>
        </w:rPr>
        <w:t>促进文化旅游融合。</w:t>
      </w:r>
      <w:r>
        <w:rPr>
          <w:rFonts w:eastAsia="仿宋_GB2312"/>
          <w:sz w:val="32"/>
          <w:szCs w:val="32"/>
        </w:rPr>
        <w:t>以文化为纽带，将文化元素植入旅游服务，实现工业旅游、红色旅游、会展旅游、邮轮旅游、研学旅游、体育旅游、节庆旅游和养生旅游等互联互融，拓展文化和旅游新市场。</w:t>
      </w:r>
      <w:bookmarkStart w:id="47" w:name="_Toc23789"/>
      <w:r>
        <w:rPr>
          <w:rFonts w:eastAsia="仿宋_GB2312"/>
          <w:sz w:val="32"/>
          <w:szCs w:val="32"/>
        </w:rPr>
        <w:t>坚持在保护中发展、在发展中保护，以五大道、意风区等知名区域为重点，深入挖掘历史文化街区、保护性建筑、革命文化遗址、工业文化遗存、名人故居等的历史文化价值，打造“古今交融、中西合璧”的城市名片。</w:t>
      </w:r>
      <w:r>
        <w:rPr>
          <w:rFonts w:eastAsia="仿宋_GB2312"/>
          <w:bCs/>
          <w:sz w:val="32"/>
          <w:szCs w:val="32"/>
        </w:rPr>
        <w:t>深入推进蓟州区、和平区、中新生态城等全域旅游示范区建设。大力挖掘农业区乡村历史文化和景观资源，提升整体村居环境及接待设施配套水平，</w:t>
      </w:r>
      <w:r>
        <w:rPr>
          <w:rFonts w:eastAsia="仿宋_GB2312"/>
          <w:sz w:val="32"/>
          <w:szCs w:val="32"/>
        </w:rPr>
        <w:t>发展乡村特色文化和旅游产业</w:t>
      </w:r>
      <w:r>
        <w:rPr>
          <w:rFonts w:eastAsia="仿宋_GB2312"/>
          <w:bCs/>
          <w:sz w:val="32"/>
          <w:szCs w:val="32"/>
        </w:rPr>
        <w:t>。</w:t>
      </w:r>
    </w:p>
    <w:p>
      <w:pPr>
        <w:adjustRightInd w:val="0"/>
        <w:snapToGrid w:val="0"/>
        <w:spacing w:line="560" w:lineRule="exact"/>
        <w:ind w:firstLine="643"/>
        <w:rPr>
          <w:rFonts w:eastAsia="仿宋_GB2312"/>
          <w:bCs/>
          <w:sz w:val="32"/>
          <w:szCs w:val="32"/>
        </w:rPr>
      </w:pPr>
      <w:r>
        <w:rPr>
          <w:rFonts w:eastAsia="楷体_GB2312"/>
          <w:bCs/>
          <w:sz w:val="32"/>
          <w:szCs w:val="32"/>
        </w:rPr>
        <w:t>打造特色项目产品。</w:t>
      </w:r>
      <w:r>
        <w:rPr>
          <w:rFonts w:eastAsia="仿宋_GB2312"/>
          <w:sz w:val="32"/>
          <w:szCs w:val="32"/>
        </w:rPr>
        <w:t>串联五大道旅游风情区、意式风情区、大沽口炮台、小站稻耕文化特色小镇、望海楼教堂、利顺德大饭店等历史文化资源，打造近代文化精品线路。串联杨柳青古镇、独流古镇及南北运河沿线文化旅游资源，推动大运河国家文化公园建设，打造运河文化精品线路。串联黄崖关长城、前甘涧段古长城等资源，推动长城国家文化公园建设，打造长城文化精品线路。串联周恩来邓颖超纪念馆、平津战役纪念馆等资源，打造红色文化精品线路。大力</w:t>
      </w:r>
      <w:r>
        <w:rPr>
          <w:rFonts w:eastAsia="仿宋_GB2312"/>
          <w:bCs/>
          <w:sz w:val="32"/>
          <w:szCs w:val="32"/>
        </w:rPr>
        <w:t>发展亲海亲水旅游，高水平规划建设一批亲海亲水旅游精品项目，塑造蓝色滨海特色轴，建设国际一流亲海亲水生态休闲旅游目的地。整合文化旅游资源，完善景区交通接驳，持续扩充优化精品线路体系。</w:t>
      </w:r>
    </w:p>
    <w:p>
      <w:pPr>
        <w:adjustRightInd w:val="0"/>
        <w:snapToGrid w:val="0"/>
        <w:spacing w:line="560" w:lineRule="exact"/>
        <w:ind w:firstLine="643"/>
        <w:rPr>
          <w:rFonts w:eastAsia="仿宋_GB2312"/>
          <w:bCs/>
          <w:sz w:val="32"/>
          <w:szCs w:val="32"/>
        </w:rPr>
      </w:pPr>
      <w:r>
        <w:rPr>
          <w:rFonts w:eastAsia="楷体_GB2312"/>
          <w:bCs/>
          <w:sz w:val="32"/>
          <w:szCs w:val="32"/>
        </w:rPr>
        <w:t>推进数字文旅应用。</w:t>
      </w:r>
      <w:r>
        <w:rPr>
          <w:rFonts w:eastAsia="仿宋_GB2312"/>
          <w:bCs/>
          <w:sz w:val="32"/>
          <w:szCs w:val="32"/>
        </w:rPr>
        <w:t>做强动漫游戏产业，重点开发轻量手游、VR游戏、VR动画等新产品，积极举办动漫游戏展会和电子竞技赛事。加快发展数字新媒体，引导传统媒体数字化发展，规范化发展网络直播、短视频等新兴领域，打造一批“津门故里”特色数字文化展示体验区。</w:t>
      </w:r>
      <w:r>
        <w:rPr>
          <w:rFonts w:eastAsia="仿宋_GB2312"/>
          <w:sz w:val="32"/>
          <w:szCs w:val="32"/>
        </w:rPr>
        <w:t>广泛利用新媒体和社交网络，强化线上营销和在线旅游产品销售，推出有看头、有玩头的天津文化和旅游“网红打卡”项目。</w:t>
      </w:r>
    </w:p>
    <w:p>
      <w:pPr>
        <w:adjustRightInd w:val="0"/>
        <w:snapToGrid w:val="0"/>
        <w:spacing w:line="560" w:lineRule="exact"/>
        <w:ind w:firstLine="643"/>
        <w:rPr>
          <w:rFonts w:eastAsia="仿宋_GB2312"/>
          <w:sz w:val="32"/>
          <w:szCs w:val="32"/>
        </w:rPr>
      </w:pPr>
      <w:r>
        <w:rPr>
          <w:rFonts w:eastAsia="仿宋_GB2312"/>
          <w:sz w:val="32"/>
          <w:szCs w:val="32"/>
        </w:rPr>
        <w:t>4.教育服务</w:t>
      </w:r>
    </w:p>
    <w:p>
      <w:pPr>
        <w:snapToGrid w:val="0"/>
        <w:spacing w:line="560" w:lineRule="exact"/>
        <w:ind w:firstLine="643"/>
        <w:rPr>
          <w:rFonts w:eastAsia="仿宋_GB2312"/>
          <w:bCs/>
          <w:sz w:val="32"/>
          <w:szCs w:val="32"/>
        </w:rPr>
      </w:pPr>
      <w:r>
        <w:rPr>
          <w:rFonts w:eastAsia="楷体_GB2312"/>
          <w:bCs/>
          <w:sz w:val="32"/>
          <w:szCs w:val="32"/>
        </w:rPr>
        <w:t>拓展教育服务链条。</w:t>
      </w:r>
      <w:r>
        <w:rPr>
          <w:rFonts w:eastAsia="仿宋_GB2312"/>
          <w:bCs/>
          <w:sz w:val="32"/>
          <w:szCs w:val="32"/>
        </w:rPr>
        <w:t>大力发展职业培训，坚持产教融合、校企合作、工学结合，提升人才培养的层次、系统性和针对性，推动职业培训集约发展、特色发展，逐步形成政府引导、以职业院校和各类培训机构为主体、企业全面参与的终身职业培训体系。积极培育前景广阔的专业化教育服务市场，着力发展青少年教育培训、个人兴趣爱好培训、老年教育等服务产业，积极发展教育咨询、教育研究、教育出版、教育金融等新兴业态。</w:t>
      </w:r>
    </w:p>
    <w:p>
      <w:pPr>
        <w:spacing w:line="560" w:lineRule="exact"/>
        <w:ind w:firstLine="640" w:firstLineChars="200"/>
        <w:rPr>
          <w:rFonts w:eastAsia="仿宋_GB2312"/>
          <w:sz w:val="32"/>
          <w:szCs w:val="24"/>
        </w:rPr>
      </w:pPr>
      <w:r>
        <w:rPr>
          <w:rFonts w:eastAsia="楷体_GB2312"/>
          <w:bCs/>
          <w:sz w:val="32"/>
          <w:szCs w:val="32"/>
        </w:rPr>
        <w:t>推动教育服务数字化。</w:t>
      </w:r>
      <w:r>
        <w:rPr>
          <w:rFonts w:eastAsia="仿宋_GB2312"/>
          <w:bCs/>
          <w:sz w:val="32"/>
          <w:szCs w:val="32"/>
        </w:rPr>
        <w:t>加快教育培训信息化建设，鼓励互联网企业与社会教育机构根据市场需求开发数字教育资源，积极探索教育云服务解决方案，提供网络化教育服务。鼓励学校通过与互联网企业合作等方式，对接线上线下教育资源，探索教育公共服务供给新模式。</w:t>
      </w:r>
      <w:r>
        <w:rPr>
          <w:rFonts w:eastAsia="仿宋_GB2312"/>
          <w:sz w:val="32"/>
          <w:szCs w:val="24"/>
        </w:rPr>
        <w:t>建设高校精品开放课程，打造优质在线教学资源。发挥海河教育园职业教育资源优势，运用移动技术、虚拟现实与增强现实、人机互动等线上教学培训手段，加强人工智能、物联网等相关专业建设，打造一流数字化培训高地。</w:t>
      </w:r>
    </w:p>
    <w:p>
      <w:pPr>
        <w:adjustRightInd w:val="0"/>
        <w:snapToGrid w:val="0"/>
        <w:spacing w:line="560" w:lineRule="exact"/>
        <w:ind w:firstLine="643"/>
        <w:rPr>
          <w:rFonts w:eastAsia="仿宋_GB2312"/>
          <w:sz w:val="32"/>
          <w:szCs w:val="32"/>
        </w:rPr>
      </w:pPr>
      <w:r>
        <w:rPr>
          <w:rFonts w:eastAsia="仿宋_GB2312"/>
          <w:sz w:val="32"/>
          <w:szCs w:val="32"/>
        </w:rPr>
        <w:t>5.家庭服务</w:t>
      </w:r>
      <w:bookmarkEnd w:id="47"/>
    </w:p>
    <w:p>
      <w:pPr>
        <w:snapToGrid w:val="0"/>
        <w:spacing w:line="560" w:lineRule="exact"/>
        <w:ind w:firstLine="640"/>
        <w:rPr>
          <w:rFonts w:eastAsia="仿宋_GB2312"/>
          <w:sz w:val="32"/>
          <w:szCs w:val="32"/>
        </w:rPr>
      </w:pPr>
      <w:r>
        <w:rPr>
          <w:rFonts w:eastAsia="仿宋_GB2312"/>
          <w:sz w:val="32"/>
          <w:szCs w:val="32"/>
        </w:rPr>
        <w:t>顺应居民家庭生活水平不断提高、家庭服务需求已逐渐由自发需求转变为刚性需求的趋势，不断提高家政服务质量和水平，完善社区服务配套功能，建设主体多元、功能完善、内容丰富、机制合理的家庭服务体系。</w:t>
      </w:r>
    </w:p>
    <w:p>
      <w:pPr>
        <w:snapToGrid w:val="0"/>
        <w:spacing w:line="560" w:lineRule="exact"/>
        <w:ind w:firstLine="643"/>
        <w:rPr>
          <w:rFonts w:eastAsia="仿宋_GB2312"/>
          <w:sz w:val="32"/>
          <w:szCs w:val="32"/>
        </w:rPr>
      </w:pPr>
      <w:r>
        <w:rPr>
          <w:rFonts w:eastAsia="楷体_GB2312"/>
          <w:bCs/>
          <w:sz w:val="32"/>
          <w:szCs w:val="32"/>
        </w:rPr>
        <w:t>推进服务提质增效。</w:t>
      </w:r>
      <w:r>
        <w:rPr>
          <w:rFonts w:eastAsia="仿宋_GB2312"/>
          <w:sz w:val="32"/>
          <w:szCs w:val="32"/>
        </w:rPr>
        <w:t>鼓励本科院校、职业院校开设家政服务相关专业、开展相关培训，鼓励符合条件的家政企业举办家政服务类职业院校，引导家政服务企业实行员工制管理。加快标准规范建设，鼓励协会和企业积极参与行业标准、地方标准和团体标准的制修订工作。加强家庭服务类专项技能开发，建立职业培训结业与技能鉴定同步实施制度，鼓励从业人员积极参加培训和职业技能等级认定，提高家政从业人员整体素质水平。维护从业人员劳动保障权益，稳定家庭服务业职业队伍。</w:t>
      </w:r>
    </w:p>
    <w:p>
      <w:pPr>
        <w:snapToGrid w:val="0"/>
        <w:spacing w:line="560" w:lineRule="exact"/>
        <w:ind w:firstLine="643"/>
        <w:rPr>
          <w:rFonts w:eastAsia="黑体"/>
          <w:bCs/>
          <w:kern w:val="44"/>
          <w:sz w:val="32"/>
          <w:szCs w:val="44"/>
        </w:rPr>
      </w:pPr>
      <w:r>
        <w:rPr>
          <w:rFonts w:eastAsia="楷体_GB2312"/>
          <w:bCs/>
          <w:sz w:val="32"/>
          <w:szCs w:val="32"/>
        </w:rPr>
        <w:t>提高服务便利水平。</w:t>
      </w:r>
      <w:r>
        <w:rPr>
          <w:rFonts w:eastAsia="仿宋_GB2312"/>
          <w:sz w:val="32"/>
          <w:szCs w:val="32"/>
        </w:rPr>
        <w:t>支持有实力的企业采取连锁经营方式在城乡社区设立超市、便利店、标准化菜店等零售网点和美容美发、洗染、家用电器及其他日用品修理、房地产中介、搬家保洁、家用车辆保养维修等服务点。鼓励社区联合相关机构兴办福利性婴幼儿照护服务机构，解决社区职工婴幼儿照护服务需求问题。</w:t>
      </w:r>
    </w:p>
    <w:p>
      <w:pPr>
        <w:spacing w:line="560" w:lineRule="exact"/>
        <w:ind w:firstLine="643"/>
        <w:rPr>
          <w:rFonts w:eastAsia="黑体"/>
          <w:bCs/>
          <w:kern w:val="44"/>
          <w:sz w:val="32"/>
          <w:szCs w:val="44"/>
        </w:rPr>
      </w:pPr>
      <w:bookmarkStart w:id="48" w:name="_Toc203323435"/>
      <w:bookmarkStart w:id="49" w:name="_Toc1275202_WPSOffice_Level1"/>
      <w:r>
        <w:rPr>
          <w:rFonts w:eastAsia="黑体"/>
          <w:bCs/>
          <w:kern w:val="44"/>
          <w:sz w:val="32"/>
          <w:szCs w:val="44"/>
        </w:rPr>
        <w:t>四、塑造“双城一带多点”空间体系，构建津城滨城双城均衡发展格局</w:t>
      </w:r>
      <w:bookmarkEnd w:id="48"/>
      <w:bookmarkEnd w:id="49"/>
    </w:p>
    <w:p>
      <w:pPr>
        <w:spacing w:line="560" w:lineRule="exact"/>
        <w:ind w:firstLine="643"/>
        <w:rPr>
          <w:rFonts w:eastAsia="仿宋_GB2312"/>
          <w:bCs/>
          <w:sz w:val="32"/>
          <w:szCs w:val="32"/>
        </w:rPr>
      </w:pPr>
      <w:bookmarkStart w:id="50" w:name="_Toc1563"/>
      <w:r>
        <w:rPr>
          <w:rFonts w:eastAsia="仿宋_GB2312"/>
          <w:color w:val="000000"/>
          <w:sz w:val="32"/>
          <w:szCs w:val="32"/>
        </w:rPr>
        <w:t>树立精明增长、紧凑城市理念，</w:t>
      </w:r>
      <w:r>
        <w:rPr>
          <w:rFonts w:eastAsia="仿宋_GB2312"/>
          <w:bCs/>
          <w:sz w:val="32"/>
          <w:szCs w:val="32"/>
        </w:rPr>
        <w:t>坚持以资源禀赋、重大功能设施和产业生态引导优化服务业布局，推动功能再造、形态重塑和产业重构，加快形成“</w:t>
      </w:r>
      <w:r>
        <w:rPr>
          <w:rFonts w:eastAsia="仿宋_GB2312"/>
          <w:bCs/>
          <w:color w:val="000000"/>
          <w:sz w:val="32"/>
          <w:szCs w:val="32"/>
        </w:rPr>
        <w:t>双城引领、一带协同、多点支撑”</w:t>
      </w:r>
      <w:r>
        <w:rPr>
          <w:rFonts w:eastAsia="仿宋_GB2312"/>
          <w:bCs/>
          <w:sz w:val="32"/>
          <w:szCs w:val="32"/>
        </w:rPr>
        <w:t>的服务业空间新格局。</w:t>
      </w:r>
    </w:p>
    <w:p>
      <w:pPr>
        <w:keepNext/>
        <w:keepLines/>
        <w:snapToGrid w:val="0"/>
        <w:spacing w:line="560" w:lineRule="exact"/>
        <w:ind w:firstLine="801"/>
        <w:outlineLvl w:val="1"/>
        <w:rPr>
          <w:rFonts w:eastAsia="楷体_GB2312"/>
          <w:kern w:val="0"/>
          <w:sz w:val="32"/>
          <w:szCs w:val="24"/>
        </w:rPr>
      </w:pPr>
      <w:bookmarkStart w:id="51" w:name="_Toc1086346222_WPSOffice_Level2"/>
      <w:bookmarkStart w:id="52" w:name="_Toc353405549"/>
      <w:r>
        <w:rPr>
          <w:rFonts w:eastAsia="楷体_GB2312"/>
          <w:kern w:val="0"/>
          <w:sz w:val="32"/>
          <w:szCs w:val="24"/>
        </w:rPr>
        <w:t>（一）双城引领</w:t>
      </w:r>
      <w:bookmarkEnd w:id="50"/>
      <w:bookmarkEnd w:id="51"/>
      <w:bookmarkEnd w:id="52"/>
    </w:p>
    <w:p>
      <w:pPr>
        <w:adjustRightInd w:val="0"/>
        <w:snapToGrid w:val="0"/>
        <w:spacing w:line="560" w:lineRule="exact"/>
        <w:ind w:firstLine="640"/>
        <w:rPr>
          <w:sz w:val="32"/>
          <w:szCs w:val="32"/>
        </w:rPr>
      </w:pPr>
      <w:r>
        <w:rPr>
          <w:rFonts w:eastAsia="仿宋_GB2312"/>
          <w:bCs/>
          <w:sz w:val="32"/>
          <w:szCs w:val="32"/>
        </w:rPr>
        <w:t>统筹津城、滨城的区位条件、产业优势和发展定位，促进高端服务业创新集聚发展，显著提升双城的区域带动力、全国辐射力和国际影响力，打造支撑京津冀世界级城市群建设的现代服务经济中心。</w:t>
      </w:r>
    </w:p>
    <w:p>
      <w:pPr>
        <w:widowControl/>
        <w:snapToGrid w:val="0"/>
        <w:spacing w:line="560" w:lineRule="exact"/>
        <w:ind w:firstLine="640" w:firstLineChars="200"/>
        <w:rPr>
          <w:rFonts w:eastAsia="仿宋_GB2312"/>
          <w:bCs/>
          <w:sz w:val="32"/>
          <w:szCs w:val="32"/>
        </w:rPr>
      </w:pPr>
      <w:r>
        <w:rPr>
          <w:rFonts w:eastAsia="楷体_GB2312"/>
          <w:sz w:val="32"/>
          <w:szCs w:val="32"/>
        </w:rPr>
        <w:t>1.津城。</w:t>
      </w:r>
      <w:r>
        <w:rPr>
          <w:rFonts w:eastAsia="仿宋_GB2312"/>
          <w:bCs/>
          <w:sz w:val="32"/>
          <w:szCs w:val="32"/>
        </w:rPr>
        <w:t>市内六区用足用好洋楼、工业遗存、商务楼宇等资源，引导现代商贸、金融服务、航运服务、高端商务、健康服务、智能科技等高端服务业态集聚，打造一批特色鲜明、业态高端、功能集成的现代服务业发展标志区，形成“一核、三带、六园”的空间新格局。“一核”包括洋楼经济区、“小白楼+远洋大厦”国际航运服务集聚区和“解放北路+友谊路”金融服务集聚区，重点打造总部经济标志区，显著提升津城核心商务区品质。“三带”包括海河服务经济综合发展带、南京路高端商务发展带和黑牛城道产业融合发展带，重点打造协同发展的区域性服务业功能中心，显著提升津城人气。“六园区”包括和平人力资源产业园区、河西陈塘科技商务区、南开环天南大知识创新集聚区、红桥光荣道科技产业园、河东金贸产业园和河北文化创意产业园区，重点打造特色鲜明的现代服务业标志区，显著提升服务业的集聚度。环城四区立足区内特色资源，</w:t>
      </w:r>
      <w:r>
        <w:rPr>
          <w:rFonts w:eastAsia="仿宋_GB2312"/>
          <w:sz w:val="32"/>
          <w:szCs w:val="32"/>
        </w:rPr>
        <w:t>依托西青新城和华苑地区建设智慧科技城，依托东丽华明和空港经济区建设国际航空城，依托北辰国家级产城融合示范区和北辰京津医药谷建设医药活力城，依托津南海河教育园区和国家会展中心（天津）建设科创会展城。</w:t>
      </w:r>
    </w:p>
    <w:p>
      <w:pPr>
        <w:adjustRightInd w:val="0"/>
        <w:snapToGrid w:val="0"/>
        <w:spacing w:line="560" w:lineRule="exact"/>
        <w:ind w:firstLine="640"/>
        <w:rPr>
          <w:rFonts w:eastAsia="仿宋_GB2312"/>
          <w:bCs/>
          <w:sz w:val="32"/>
          <w:szCs w:val="32"/>
        </w:rPr>
      </w:pPr>
      <w:r>
        <w:rPr>
          <w:rFonts w:eastAsia="楷体_GB2312"/>
          <w:sz w:val="32"/>
          <w:szCs w:val="32"/>
        </w:rPr>
        <w:t>2.滨城。</w:t>
      </w:r>
      <w:r>
        <w:rPr>
          <w:rFonts w:eastAsia="仿宋_GB2312"/>
          <w:bCs/>
          <w:sz w:val="32"/>
          <w:szCs w:val="32"/>
        </w:rPr>
        <w:t>按照城市标准完善滨城服务业布局，加快补齐基础设施和医疗、教育等公共服务短板，导入生活性服务业业态，全面提升综合服务功能，打造“一核多点”的现代服务经济新格局。“一核”是依托滨海新区核心区，重点发展总部经济、商贸、金融、智能科技服务、文化健康旅游等现代服务业，打造天津经济技术开发区中心商务片区、天津经济技术开发区东区、滨海－中关村科技园、滨海高新区海洋科技园、中新天津生态城等五大服务业集聚区。“多点”是发挥各开发区城市功能节点作用，构建全域发展、各有侧重、特色鲜明的产业布局。依托海空两港，打造北方国际贸易中心。依托自由贸易试验区，建设金融创新运营示范区。依托国家自主创新示范区，建设全国领先的研发转化基地。依托现代新兴服务业，大力发展平台经济、海洋经济、临空经济，形成现代新兴服务业产业新体系。</w:t>
      </w:r>
    </w:p>
    <w:p>
      <w:pPr>
        <w:keepNext/>
        <w:keepLines/>
        <w:snapToGrid w:val="0"/>
        <w:spacing w:line="560" w:lineRule="exact"/>
        <w:ind w:firstLine="801"/>
        <w:outlineLvl w:val="1"/>
        <w:rPr>
          <w:rFonts w:eastAsia="楷体_GB2312"/>
          <w:kern w:val="0"/>
          <w:sz w:val="32"/>
          <w:szCs w:val="24"/>
        </w:rPr>
      </w:pPr>
      <w:bookmarkStart w:id="53" w:name="_Toc2092986678"/>
      <w:bookmarkStart w:id="54" w:name="_Toc1103112312_WPSOffice_Level2"/>
      <w:r>
        <w:rPr>
          <w:rFonts w:eastAsia="楷体_GB2312"/>
          <w:kern w:val="0"/>
          <w:sz w:val="32"/>
          <w:szCs w:val="24"/>
        </w:rPr>
        <w:t>（二）一带协同</w:t>
      </w:r>
      <w:bookmarkEnd w:id="53"/>
      <w:bookmarkEnd w:id="54"/>
    </w:p>
    <w:p>
      <w:pPr>
        <w:widowControl/>
        <w:snapToGrid w:val="0"/>
        <w:spacing w:line="560" w:lineRule="exact"/>
        <w:ind w:firstLine="640" w:firstLineChars="200"/>
        <w:rPr>
          <w:rFonts w:eastAsia="仿宋_GB2312"/>
          <w:sz w:val="32"/>
          <w:szCs w:val="32"/>
        </w:rPr>
      </w:pPr>
      <w:r>
        <w:rPr>
          <w:rFonts w:eastAsia="楷体_GB2312"/>
          <w:bCs/>
          <w:sz w:val="32"/>
          <w:szCs w:val="32"/>
        </w:rPr>
        <w:t>绿色生态屏障创新服务带。</w:t>
      </w:r>
      <w:r>
        <w:rPr>
          <w:rFonts w:eastAsia="仿宋_GB2312"/>
          <w:sz w:val="32"/>
          <w:szCs w:val="32"/>
        </w:rPr>
        <w:t>发挥好海河“一河沟通双城”的桥梁纽带作用，沿海河中下游区域布局海河柳林“设计之都”核心区、国家会展经济区等一批“专精特新”专业化特色功能区，重点发展会展、设计、智能科技服务等高端业态，打造海河服务经济延长带。用好天津市绿色生态屏障资源禀赋，以绿色发展与创新驱动为发展核心，重点发展科技服务、教育服务、生态旅游、健康医疗等业态。依托海河教育园区、未来科技城、海河创意基地等区域重点集聚研发服务、检验检测、现代教育、文化创意设计等服务业态。发挥东丽湖、天嘉湖等资源优势，深挖葛沽、小站等区域文化特征，重点发展生态旅游、文化旅游等特色旅游服务。</w:t>
      </w:r>
    </w:p>
    <w:p>
      <w:pPr>
        <w:keepNext/>
        <w:keepLines/>
        <w:snapToGrid w:val="0"/>
        <w:spacing w:line="560" w:lineRule="exact"/>
        <w:ind w:firstLine="801"/>
        <w:outlineLvl w:val="1"/>
        <w:rPr>
          <w:rFonts w:eastAsia="楷体_GB2312"/>
          <w:kern w:val="0"/>
          <w:sz w:val="32"/>
          <w:szCs w:val="24"/>
        </w:rPr>
      </w:pPr>
      <w:bookmarkStart w:id="55" w:name="_Toc8363"/>
      <w:bookmarkStart w:id="56" w:name="_Toc1271681202_WPSOffice_Level2"/>
      <w:bookmarkStart w:id="57" w:name="_Toc140599959"/>
      <w:r>
        <w:rPr>
          <w:rFonts w:eastAsia="楷体_GB2312"/>
          <w:kern w:val="0"/>
          <w:sz w:val="32"/>
          <w:szCs w:val="24"/>
        </w:rPr>
        <w:t>（三）多</w:t>
      </w:r>
      <w:bookmarkEnd w:id="55"/>
      <w:r>
        <w:rPr>
          <w:rFonts w:eastAsia="楷体_GB2312"/>
          <w:kern w:val="0"/>
          <w:sz w:val="32"/>
          <w:szCs w:val="24"/>
        </w:rPr>
        <w:t>点支撑</w:t>
      </w:r>
      <w:bookmarkEnd w:id="56"/>
      <w:bookmarkEnd w:id="57"/>
    </w:p>
    <w:p>
      <w:pPr>
        <w:widowControl/>
        <w:snapToGrid w:val="0"/>
        <w:spacing w:line="560" w:lineRule="exact"/>
        <w:ind w:firstLine="640" w:firstLineChars="200"/>
        <w:rPr>
          <w:rFonts w:eastAsia="仿宋_GB2312"/>
          <w:sz w:val="32"/>
          <w:szCs w:val="32"/>
        </w:rPr>
      </w:pPr>
      <w:r>
        <w:rPr>
          <w:rFonts w:eastAsia="楷体_GB2312"/>
          <w:bCs/>
          <w:sz w:val="32"/>
          <w:szCs w:val="32"/>
        </w:rPr>
        <w:t>1.蓟州旅游休闲服务组团。</w:t>
      </w:r>
      <w:r>
        <w:rPr>
          <w:rFonts w:eastAsia="仿宋_GB2312"/>
          <w:sz w:val="32"/>
          <w:szCs w:val="32"/>
        </w:rPr>
        <w:t>做强国家全域旅游示范区，推动传统旅游向休闲度假转型。持续提升盘山、黄崖关长城、梨木台等核心景区设施水平，布局一批国际化IP项目，加快春山里生态教育国际生活示范区、春光童话动物园、车神架生态旅游文化休闲（示范）区等旅游载体建设，打造一批全域旅游示范镇和乡村旅游重点村。推动旅游消费与文化融合发展，积极创建国家文化和旅游消费试点城市。积极培育在线旅游、旅游大数据服务等领域，推动智慧旅游新业态全覆盖发展。</w:t>
      </w:r>
    </w:p>
    <w:p>
      <w:pPr>
        <w:widowControl/>
        <w:snapToGrid w:val="0"/>
        <w:spacing w:line="560" w:lineRule="exact"/>
        <w:ind w:firstLine="640" w:firstLineChars="200"/>
        <w:rPr>
          <w:rFonts w:eastAsia="仿宋_GB2312"/>
          <w:sz w:val="32"/>
          <w:szCs w:val="32"/>
        </w:rPr>
      </w:pPr>
      <w:r>
        <w:rPr>
          <w:rFonts w:eastAsia="楷体_GB2312"/>
          <w:bCs/>
          <w:sz w:val="32"/>
          <w:szCs w:val="32"/>
        </w:rPr>
        <w:t>2.武清高端消费服务组团。</w:t>
      </w:r>
      <w:r>
        <w:rPr>
          <w:rFonts w:eastAsia="仿宋_GB2312"/>
          <w:sz w:val="32"/>
          <w:szCs w:val="32"/>
        </w:rPr>
        <w:t>发挥好京津城际武清站枢纽功能，突出佛罗伦萨小镇、创意米兰、万达等消费品牌集聚效应，推动购物旅游、文化休闲、体验娱乐等高端消费服务业多业态繁荣发展，打造中国北方高端消费集中打卡地。发挥通武廊“小京津冀”试验区作用，承接服务京津双城乃至北方地区的物流分拨枢纽功能，打造服务三地的电子商务产业高地。</w:t>
      </w:r>
    </w:p>
    <w:p>
      <w:pPr>
        <w:widowControl/>
        <w:snapToGrid w:val="0"/>
        <w:spacing w:line="560" w:lineRule="exact"/>
        <w:ind w:firstLine="640" w:firstLineChars="200"/>
        <w:rPr>
          <w:rFonts w:eastAsia="仿宋_GB2312"/>
          <w:color w:val="000000"/>
          <w:sz w:val="32"/>
          <w:szCs w:val="32"/>
        </w:rPr>
      </w:pPr>
      <w:r>
        <w:rPr>
          <w:rFonts w:eastAsia="楷体_GB2312"/>
          <w:bCs/>
          <w:sz w:val="32"/>
          <w:szCs w:val="32"/>
        </w:rPr>
        <w:t>3.团泊医疗康养服务组团。</w:t>
      </w:r>
      <w:r>
        <w:rPr>
          <w:rFonts w:eastAsia="仿宋_GB2312"/>
          <w:sz w:val="32"/>
          <w:szCs w:val="32"/>
        </w:rPr>
        <w:t>发挥天津中医药大学、天津医科大学等重点医学康复院校和生态资源优势，大力发展生态养老、高端医疗、运动康复、文化服务等高附加值健康服务业。加快推动中国医学科学院血液病医院（团泊院区）及附属区项目、中日国际健康体检中心等重点项目建设，打造京津冀地区和全国养老产业创新</w:t>
      </w:r>
      <w:r>
        <w:rPr>
          <w:rFonts w:eastAsia="仿宋_GB2312"/>
          <w:color w:val="000000"/>
          <w:sz w:val="32"/>
          <w:szCs w:val="32"/>
        </w:rPr>
        <w:t>发展示范区。</w:t>
      </w:r>
    </w:p>
    <w:p>
      <w:pPr>
        <w:snapToGrid w:val="0"/>
        <w:spacing w:line="560" w:lineRule="exact"/>
        <w:ind w:firstLine="643"/>
        <w:rPr>
          <w:rFonts w:eastAsia="仿宋_GB2312"/>
          <w:bCs/>
          <w:color w:val="000000"/>
          <w:sz w:val="32"/>
          <w:szCs w:val="32"/>
        </w:rPr>
      </w:pPr>
      <w:r>
        <w:rPr>
          <w:rFonts w:eastAsia="楷体_GB2312"/>
          <w:bCs/>
          <w:sz w:val="32"/>
          <w:szCs w:val="32"/>
        </w:rPr>
        <w:t>4.宝坻新城商务休闲服务组团。</w:t>
      </w:r>
      <w:r>
        <w:rPr>
          <w:rFonts w:eastAsia="仿宋_GB2312"/>
          <w:bCs/>
          <w:color w:val="000000"/>
          <w:sz w:val="32"/>
          <w:szCs w:val="32"/>
        </w:rPr>
        <w:t>发挥京滨城际宝坻南站节点枢纽功能和潮白河、</w:t>
      </w:r>
      <w:r>
        <w:rPr>
          <w:rFonts w:eastAsia="仿宋_GB2312"/>
          <w:color w:val="000000"/>
          <w:sz w:val="32"/>
          <w:szCs w:val="32"/>
        </w:rPr>
        <w:t>箭杆河、青龙湾等</w:t>
      </w:r>
      <w:r>
        <w:rPr>
          <w:rFonts w:eastAsia="仿宋_GB2312"/>
          <w:bCs/>
          <w:color w:val="000000"/>
          <w:sz w:val="32"/>
          <w:szCs w:val="32"/>
        </w:rPr>
        <w:t>生态旅游景观资源优势，</w:t>
      </w:r>
      <w:r>
        <w:rPr>
          <w:rFonts w:eastAsia="仿宋_GB2312"/>
          <w:color w:val="000000"/>
          <w:sz w:val="32"/>
          <w:szCs w:val="32"/>
        </w:rPr>
        <w:t>依托京津中关村科技城、宝坻高铁站前区</w:t>
      </w:r>
      <w:r>
        <w:rPr>
          <w:rFonts w:eastAsia="仿宋_GB2312"/>
          <w:bCs/>
          <w:color w:val="000000"/>
          <w:sz w:val="32"/>
          <w:szCs w:val="32"/>
        </w:rPr>
        <w:t>，重点布局发展工业设计服务和商务休闲服务，打造天津北部商务服务新节点。</w:t>
      </w:r>
    </w:p>
    <w:p>
      <w:pPr>
        <w:widowControl/>
        <w:snapToGrid w:val="0"/>
        <w:spacing w:line="560" w:lineRule="exact"/>
        <w:ind w:firstLine="627" w:firstLineChars="196"/>
        <w:rPr>
          <w:rFonts w:eastAsia="仿宋_GB2312"/>
          <w:sz w:val="32"/>
          <w:szCs w:val="32"/>
        </w:rPr>
      </w:pPr>
      <w:r>
        <w:rPr>
          <w:rFonts w:eastAsia="楷体_GB2312"/>
          <w:bCs/>
          <w:sz w:val="32"/>
          <w:szCs w:val="32"/>
        </w:rPr>
        <w:t>5.未来科技城科技服务组团。</w:t>
      </w:r>
      <w:r>
        <w:rPr>
          <w:rFonts w:eastAsia="仿宋_GB2312"/>
          <w:sz w:val="32"/>
          <w:szCs w:val="32"/>
        </w:rPr>
        <w:t>发挥七里海自然保护区等自然资源优势，围绕未来科技城“三基地、三新城”的定位，加快承接首都溢出资源，积极发展研发设计、科技成果转化、信息技术服务、创业孵化、知识产权、科技咨询等科技服务业，促进核心产业科技创新，提高科技服务业与制造业的融合度。</w:t>
      </w:r>
    </w:p>
    <w:p>
      <w:pPr>
        <w:keepNext/>
        <w:keepLines/>
        <w:snapToGrid w:val="0"/>
        <w:spacing w:line="560" w:lineRule="exact"/>
        <w:outlineLvl w:val="0"/>
        <w:rPr>
          <w:rFonts w:eastAsia="黑体"/>
          <w:bCs/>
          <w:kern w:val="44"/>
          <w:sz w:val="32"/>
          <w:szCs w:val="44"/>
        </w:rPr>
      </w:pPr>
      <w:bookmarkStart w:id="58" w:name="_Toc12042"/>
      <w:bookmarkStart w:id="59" w:name="_Toc454074519"/>
      <w:r>
        <w:rPr>
          <w:rFonts w:eastAsia="黑体"/>
          <w:bCs/>
          <w:kern w:val="44"/>
          <w:sz w:val="32"/>
          <w:szCs w:val="44"/>
        </w:rPr>
        <w:t xml:space="preserve">    </w:t>
      </w:r>
      <w:bookmarkStart w:id="60" w:name="_Toc1256956276_WPSOffice_Level1"/>
      <w:r>
        <w:rPr>
          <w:rFonts w:eastAsia="黑体"/>
          <w:bCs/>
          <w:kern w:val="44"/>
          <w:sz w:val="32"/>
          <w:szCs w:val="44"/>
        </w:rPr>
        <w:t>五、实施六大重点任务，激发服务经济高质量</w:t>
      </w:r>
      <w:bookmarkEnd w:id="58"/>
      <w:r>
        <w:rPr>
          <w:rFonts w:eastAsia="黑体"/>
          <w:bCs/>
          <w:kern w:val="44"/>
          <w:sz w:val="32"/>
          <w:szCs w:val="44"/>
        </w:rPr>
        <w:t>发展动能</w:t>
      </w:r>
      <w:bookmarkEnd w:id="59"/>
      <w:bookmarkEnd w:id="60"/>
    </w:p>
    <w:p>
      <w:pPr>
        <w:keepNext/>
        <w:keepLines/>
        <w:spacing w:line="560" w:lineRule="exact"/>
        <w:ind w:firstLine="801"/>
        <w:outlineLvl w:val="1"/>
        <w:rPr>
          <w:rFonts w:eastAsia="楷体_GB2312"/>
          <w:kern w:val="0"/>
          <w:sz w:val="32"/>
          <w:szCs w:val="24"/>
        </w:rPr>
      </w:pPr>
      <w:bookmarkStart w:id="61" w:name="_Toc1951084889_WPSOffice_Level2"/>
      <w:bookmarkStart w:id="62" w:name="_Toc1891797834"/>
      <w:bookmarkStart w:id="63" w:name="_Toc16773"/>
      <w:bookmarkStart w:id="64" w:name="_Toc24550963"/>
      <w:r>
        <w:rPr>
          <w:rFonts w:eastAsia="楷体_GB2312"/>
          <w:kern w:val="0"/>
          <w:sz w:val="32"/>
          <w:szCs w:val="24"/>
        </w:rPr>
        <w:t>（一）建设国际消费中心城市</w:t>
      </w:r>
      <w:bookmarkEnd w:id="61"/>
      <w:bookmarkEnd w:id="62"/>
    </w:p>
    <w:p>
      <w:pPr>
        <w:widowControl/>
        <w:snapToGrid w:val="0"/>
        <w:spacing w:line="560" w:lineRule="exact"/>
        <w:ind w:firstLine="640" w:firstLineChars="200"/>
        <w:rPr>
          <w:rFonts w:eastAsia="仿宋_GB2312"/>
          <w:b/>
          <w:sz w:val="32"/>
          <w:szCs w:val="32"/>
        </w:rPr>
      </w:pPr>
      <w:bookmarkStart w:id="65" w:name="_Toc21761"/>
      <w:r>
        <w:rPr>
          <w:rFonts w:eastAsia="仿宋_GB2312"/>
          <w:sz w:val="32"/>
          <w:szCs w:val="32"/>
        </w:rPr>
        <w:t>统筹利用两个市场、两种资源，优化城市消费硬软环境，完善消费设施布局，塑造消费服务场景，打响“天津消费”品牌，提升消费便利度、舒适度和满意度，打造具有国际化水平和全球影响力的国际消费中心城市。</w:t>
      </w:r>
    </w:p>
    <w:p>
      <w:pPr>
        <w:widowControl/>
        <w:snapToGrid w:val="0"/>
        <w:spacing w:line="560" w:lineRule="exact"/>
        <w:ind w:firstLine="640" w:firstLineChars="200"/>
        <w:rPr>
          <w:rFonts w:eastAsia="仿宋_GB2312"/>
          <w:b/>
          <w:sz w:val="32"/>
          <w:szCs w:val="32"/>
        </w:rPr>
      </w:pPr>
      <w:r>
        <w:rPr>
          <w:rFonts w:eastAsia="楷体_GB2312"/>
          <w:bCs/>
          <w:kern w:val="0"/>
          <w:sz w:val="32"/>
          <w:szCs w:val="32"/>
        </w:rPr>
        <w:t>1.建设国际旅游消费城市。</w:t>
      </w:r>
      <w:r>
        <w:rPr>
          <w:rFonts w:eastAsia="仿宋_GB2312"/>
          <w:sz w:val="32"/>
          <w:szCs w:val="32"/>
        </w:rPr>
        <w:t>打造国际一流亲海亲水生态休闲旅游目的地，充分利用河、海等资源要素，整合提升国家海洋博物馆、航母主题公园、东疆湾沙滩公园、东疆国际邮轮母港等旅游资源，建设国际魅力湾区，构建“一湾三廊”的亲海亲水旅游空间格局。打造中国北方国际邮轮旅游中心，加快邮轮港城建设，推进中国邮轮综合服务基地建设项目落地，推出“邮轮旅游+”项目，丰富港口旅游、海上旅游产品，完善邮轮旅游岸上线路。推动旅游改革创新发展，深化蓟州区、和平区、中新（天津）生态城等国家全域旅游示范区创建成果，推动完成杨柳青古镇和五大道文化旅游区5A级景区评定，开发利用好大运河和长城两个世界文化遗产资源，丰富完善文化博览、洋楼体验、名人故居、亲水休闲、山野名胜、红色记忆、网红打卡等主题旅游精品线路，推出“最天津”旅游精品线路。</w:t>
      </w:r>
    </w:p>
    <w:p>
      <w:pPr>
        <w:widowControl/>
        <w:snapToGrid w:val="0"/>
        <w:spacing w:line="560" w:lineRule="exact"/>
        <w:ind w:firstLine="640" w:firstLineChars="200"/>
        <w:rPr>
          <w:rFonts w:eastAsia="仿宋_GB2312"/>
          <w:sz w:val="32"/>
          <w:szCs w:val="32"/>
        </w:rPr>
      </w:pPr>
      <w:r>
        <w:rPr>
          <w:rFonts w:eastAsia="楷体_GB2312"/>
          <w:bCs/>
          <w:kern w:val="0"/>
          <w:sz w:val="32"/>
          <w:szCs w:val="32"/>
        </w:rPr>
        <w:t>2.打造体育赛事聚集地。</w:t>
      </w:r>
      <w:r>
        <w:rPr>
          <w:rFonts w:eastAsia="仿宋_GB2312"/>
          <w:sz w:val="32"/>
          <w:szCs w:val="32"/>
        </w:rPr>
        <w:t>加快国际一流赛事场馆建设，完善大众体育和休闲运动功能，引进一批品牌知名度高、市场前景广的国际顶级赛事。持续打造天津现有的WTA（国际女子职业网联）天津公开赛、天津国际马拉松、天津铁人三项赛等品牌赛事，举办国际足联俱乐部世界杯（世俱杯）。用好V1汽车世界国际赛车场等载体，引进和举办具有国际影响力的国际汽车赛事。</w:t>
      </w:r>
      <w:r>
        <w:rPr>
          <w:rFonts w:eastAsia="仿宋_GB2312"/>
          <w:kern w:val="0"/>
          <w:sz w:val="32"/>
          <w:szCs w:val="32"/>
        </w:rPr>
        <w:t>推进中国篮球博物馆建设，建成国家冬季运动专项训练基地，开展天津冰雪嘉年华活动。</w:t>
      </w:r>
      <w:r>
        <w:rPr>
          <w:rFonts w:eastAsia="仿宋_GB2312"/>
          <w:sz w:val="32"/>
          <w:szCs w:val="32"/>
        </w:rPr>
        <w:t>大力发展职业赛事，引导扶持业余精品赛事，培育冰雪体育赛事，促进体育竞赛与文化表演互动融合。</w:t>
      </w:r>
    </w:p>
    <w:p>
      <w:pPr>
        <w:widowControl/>
        <w:snapToGrid w:val="0"/>
        <w:spacing w:line="560" w:lineRule="exact"/>
        <w:ind w:firstLine="640" w:firstLineChars="200"/>
        <w:rPr>
          <w:rFonts w:eastAsia="仿宋_GB2312"/>
          <w:sz w:val="32"/>
          <w:szCs w:val="32"/>
        </w:rPr>
      </w:pPr>
      <w:r>
        <w:rPr>
          <w:rFonts w:eastAsia="楷体_GB2312"/>
          <w:bCs/>
          <w:kern w:val="0"/>
          <w:sz w:val="32"/>
          <w:szCs w:val="32"/>
        </w:rPr>
        <w:t>3.建设北方国际会展中心城市。</w:t>
      </w:r>
      <w:r>
        <w:rPr>
          <w:rFonts w:eastAsia="仿宋_GB2312"/>
          <w:sz w:val="32"/>
          <w:szCs w:val="32"/>
        </w:rPr>
        <w:t>建设国家会展经济片区，发挥国家会展中心对外交流合作窗口作用，</w:t>
      </w:r>
      <w:r>
        <w:rPr>
          <w:rFonts w:eastAsia="仿宋_GB2312"/>
          <w:kern w:val="0"/>
          <w:sz w:val="32"/>
          <w:szCs w:val="32"/>
        </w:rPr>
        <w:t>加快建成国家会展中心展馆区及综合配套区</w:t>
      </w:r>
      <w:r>
        <w:rPr>
          <w:rFonts w:eastAsia="仿宋_GB2312"/>
          <w:sz w:val="32"/>
          <w:szCs w:val="32"/>
        </w:rPr>
        <w:t>。</w:t>
      </w:r>
      <w:r>
        <w:rPr>
          <w:rFonts w:eastAsia="仿宋_GB2312"/>
          <w:bCs/>
          <w:sz w:val="32"/>
          <w:szCs w:val="32"/>
        </w:rPr>
        <w:t>持续提升夏季达沃斯、津洽会、民洽会（融洽会）、中国旅游产业博览会、中国国际矿业大会、北方自行车展等品牌展会办会水平和影响力。</w:t>
      </w:r>
      <w:r>
        <w:rPr>
          <w:rFonts w:eastAsia="仿宋_GB2312"/>
          <w:bCs/>
          <w:color w:val="000000"/>
          <w:sz w:val="32"/>
          <w:szCs w:val="32"/>
        </w:rPr>
        <w:t>积极引进中国（天津）国际汽车展览会、全国糖酒会等国际性、全国性品牌展会和高端会议，</w:t>
      </w:r>
      <w:r>
        <w:rPr>
          <w:rFonts w:eastAsia="仿宋_GB2312"/>
          <w:bCs/>
          <w:sz w:val="32"/>
          <w:szCs w:val="32"/>
        </w:rPr>
        <w:t>承接京津冀“小专精特”专业展会、在线展会，创办非物质文化遗产、老字号、创意设计等特色展会，</w:t>
      </w:r>
      <w:r>
        <w:rPr>
          <w:rFonts w:eastAsia="仿宋_GB2312"/>
          <w:bCs/>
          <w:color w:val="000000"/>
          <w:sz w:val="32"/>
          <w:szCs w:val="32"/>
        </w:rPr>
        <w:t>培育本地品牌会展，打造城市会客厅。</w:t>
      </w:r>
    </w:p>
    <w:p>
      <w:pPr>
        <w:widowControl/>
        <w:snapToGrid w:val="0"/>
        <w:spacing w:line="560" w:lineRule="exact"/>
        <w:ind w:firstLine="640" w:firstLineChars="200"/>
        <w:rPr>
          <w:rFonts w:eastAsia="仿宋_GB2312"/>
          <w:sz w:val="32"/>
          <w:szCs w:val="32"/>
        </w:rPr>
      </w:pPr>
      <w:r>
        <w:rPr>
          <w:rFonts w:eastAsia="楷体_GB2312"/>
          <w:bCs/>
          <w:kern w:val="0"/>
          <w:sz w:val="32"/>
          <w:szCs w:val="32"/>
        </w:rPr>
        <w:t>4.建设高品质商圈。</w:t>
      </w:r>
      <w:r>
        <w:rPr>
          <w:rFonts w:eastAsia="仿宋_GB2312"/>
          <w:sz w:val="32"/>
          <w:szCs w:val="32"/>
        </w:rPr>
        <w:t>建设海河国际商业中心，聚合商业优势资源，汇集国际时尚品牌，培育中高端消费市场，打造“一带九轴九商圈”总体空间格局，将海河沿岸打造成“城市会客厅”。加快构建和平路滨江道（金街）、五大道、意风区、老城厢—古文化街四个知名商圈，构建商圈多元、混合、24小时的商业中心。重点将和平路滨江道（金街）打造为国际化商业步行街，引进特色餐饮、创意零售、智能科技体验、非遗体验馆等业态模式，支持发展首店经济、小店经济，把金街打造成集购物、旅游、文化、餐饮、商务、娱乐、休闲于一体的社交体验中心。依托历史文化旅游线路，串联主要商业节点，打造桂林路、河北路后街经济。挖掘整合街坊资源，挖掘历史和文化内涵，实施古文化街、南市食品街等步行街新一轮提升改造，长春道建设津门传统特色餐饮街区，赤峰道发展特色休闲购物街，和平路建设老字号、非遗特色技艺展示街区。</w:t>
      </w:r>
    </w:p>
    <w:tbl>
      <w:tblPr>
        <w:tblStyle w:val="2"/>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2" w:hRule="atLeast"/>
          <w:jc w:val="center"/>
        </w:trPr>
        <w:tc>
          <w:tcPr>
            <w:tcW w:w="8841" w:type="dxa"/>
            <w:noWrap w:val="0"/>
            <w:vAlign w:val="top"/>
          </w:tcPr>
          <w:p>
            <w:pPr>
              <w:spacing w:line="560" w:lineRule="exact"/>
              <w:contextualSpacing/>
              <w:jc w:val="center"/>
              <w:rPr>
                <w:rFonts w:eastAsia="黑体"/>
                <w:sz w:val="32"/>
                <w:szCs w:val="32"/>
              </w:rPr>
            </w:pPr>
            <w:r>
              <w:rPr>
                <w:rFonts w:eastAsia="黑体"/>
                <w:sz w:val="32"/>
                <w:szCs w:val="32"/>
              </w:rPr>
              <w:t>专栏3　一带九轴九商圈</w:t>
            </w:r>
          </w:p>
          <w:p>
            <w:pPr>
              <w:spacing w:line="520" w:lineRule="exact"/>
              <w:ind w:firstLine="640" w:firstLineChars="200"/>
              <w:rPr>
                <w:rFonts w:eastAsia="仿宋_GB2312"/>
                <w:sz w:val="32"/>
                <w:szCs w:val="32"/>
              </w:rPr>
            </w:pPr>
            <w:r>
              <w:rPr>
                <w:rFonts w:eastAsia="仿宋_GB2312"/>
                <w:sz w:val="32"/>
                <w:szCs w:val="32"/>
              </w:rPr>
              <w:t>“一带”：海河商业文旅经济带。</w:t>
            </w:r>
          </w:p>
          <w:p>
            <w:pPr>
              <w:keepNext/>
              <w:keepLines/>
              <w:spacing w:line="520" w:lineRule="exact"/>
              <w:ind w:firstLine="801"/>
              <w:outlineLvl w:val="2"/>
              <w:rPr>
                <w:rFonts w:eastAsia="仿宋_GB2312"/>
                <w:sz w:val="32"/>
                <w:szCs w:val="32"/>
              </w:rPr>
            </w:pPr>
            <w:r>
              <w:rPr>
                <w:rFonts w:eastAsia="仿宋_GB2312"/>
                <w:sz w:val="32"/>
                <w:szCs w:val="32"/>
              </w:rPr>
              <w:t>“九轴”：沿滨江道、和平路、南京路、南马路、北马路、水阁大街、曲阜道、重庆道、六纬路等主要商业街道，形成9条商业发展轴线。</w:t>
            </w:r>
          </w:p>
          <w:p>
            <w:pPr>
              <w:spacing w:line="520" w:lineRule="exact"/>
              <w:rPr>
                <w:szCs w:val="24"/>
              </w:rPr>
            </w:pPr>
            <w:r>
              <w:rPr>
                <w:rFonts w:eastAsia="仿宋_GB2312"/>
                <w:sz w:val="32"/>
                <w:szCs w:val="32"/>
              </w:rPr>
              <w:t>“九商圈”：沿海河形成滨江道—和平路商圈、老城厢—古文化街商圈、泰安道—小白楼商圈、五大道商圈、意风区商圈、南门外大街商圈、津湾广场商圈、六纬路商圈、大胡同商圈等9个各具特色的商圈。</w:t>
            </w:r>
          </w:p>
        </w:tc>
      </w:tr>
    </w:tbl>
    <w:p>
      <w:pPr>
        <w:widowControl/>
        <w:snapToGrid w:val="0"/>
        <w:spacing w:line="560" w:lineRule="exact"/>
        <w:ind w:firstLine="640" w:firstLineChars="200"/>
        <w:rPr>
          <w:rFonts w:eastAsia="仿宋_GB2312"/>
          <w:sz w:val="32"/>
          <w:szCs w:val="32"/>
        </w:rPr>
      </w:pPr>
      <w:r>
        <w:rPr>
          <w:rFonts w:eastAsia="楷体_GB2312"/>
          <w:bCs/>
          <w:kern w:val="0"/>
          <w:sz w:val="32"/>
          <w:szCs w:val="32"/>
        </w:rPr>
        <w:t>5.打造天津不夜城。</w:t>
      </w:r>
      <w:r>
        <w:rPr>
          <w:rFonts w:eastAsia="仿宋_GB2312"/>
          <w:sz w:val="32"/>
          <w:szCs w:val="32"/>
        </w:rPr>
        <w:t>提升意风区、五大道、市文化中心广场三个标志性街区品质，打造国际版夜生活集聚区，成为国内外游客的必选地。繁荣夜间消费体验活动，打响“夜游海河”“夜赏津曲”“夜品津味”“夜购津货”等 “夜津城”品牌，推出大型文艺演出、音乐节、沉浸式话剧、美食及互动体验相互融合的国际嘉年华活动。建设夜间经济数字街区，培育24小时便利店、书店、影院、音乐酒吧、深夜食堂等夜间消费业态。</w:t>
      </w:r>
    </w:p>
    <w:p>
      <w:pPr>
        <w:widowControl/>
        <w:snapToGrid w:val="0"/>
        <w:spacing w:line="560" w:lineRule="exact"/>
        <w:ind w:firstLine="640" w:firstLineChars="200"/>
        <w:rPr>
          <w:rFonts w:eastAsia="仿宋_GB2312"/>
          <w:sz w:val="32"/>
          <w:szCs w:val="32"/>
        </w:rPr>
      </w:pPr>
      <w:r>
        <w:rPr>
          <w:rFonts w:eastAsia="楷体_GB2312"/>
          <w:bCs/>
          <w:kern w:val="0"/>
          <w:sz w:val="32"/>
          <w:szCs w:val="32"/>
        </w:rPr>
        <w:t>6.打造天津美食之都。</w:t>
      </w:r>
      <w:r>
        <w:rPr>
          <w:rFonts w:eastAsia="仿宋_GB2312"/>
          <w:sz w:val="32"/>
          <w:szCs w:val="32"/>
        </w:rPr>
        <w:t>加大对津菜、天津小吃等特色美食宣传推广力度，传承弘扬天津餐饮老字号，提升品牌国际影响力。充分利用天津历史风貌建筑和成熟商业综合体，选择能体现津菜历史发源的老街道、老建筑等打造津菜经营载体，打造“津菜美食街”、“津味小吃城”。依托意风区、五大道、时代奥城等特色载体，引进世界各地特色餐饮和风味美食，举办世界食品展、西餐饮食文化节，打造特色餐饮集聚街区，提升餐饮文化影响力。支持餐饮企业扩大经营网络，培育一批津菜餐饮品牌，高水平举办天津厨师节。</w:t>
      </w:r>
    </w:p>
    <w:p>
      <w:pPr>
        <w:keepNext/>
        <w:keepLines/>
        <w:snapToGrid w:val="0"/>
        <w:spacing w:line="560" w:lineRule="exact"/>
        <w:ind w:firstLine="801"/>
        <w:outlineLvl w:val="1"/>
        <w:rPr>
          <w:rFonts w:eastAsia="楷体_GB2312"/>
          <w:kern w:val="0"/>
          <w:sz w:val="32"/>
          <w:szCs w:val="24"/>
        </w:rPr>
      </w:pPr>
      <w:bookmarkStart w:id="66" w:name="_Toc1894861025"/>
      <w:bookmarkStart w:id="67" w:name="_Toc534218780_WPSOffice_Level2"/>
      <w:r>
        <w:rPr>
          <w:rFonts w:eastAsia="楷体_GB2312"/>
          <w:kern w:val="0"/>
          <w:sz w:val="32"/>
          <w:szCs w:val="24"/>
        </w:rPr>
        <w:t>（二）建设区域商贸中心城市</w:t>
      </w:r>
      <w:bookmarkEnd w:id="66"/>
      <w:bookmarkEnd w:id="67"/>
    </w:p>
    <w:p>
      <w:pPr>
        <w:keepNext/>
        <w:keepLines/>
        <w:snapToGrid w:val="0"/>
        <w:spacing w:line="560" w:lineRule="exact"/>
        <w:ind w:firstLine="640"/>
        <w:jc w:val="left"/>
        <w:textAlignment w:val="baseline"/>
        <w:outlineLvl w:val="2"/>
        <w:rPr>
          <w:rFonts w:eastAsia="仿宋_GB2312"/>
          <w:sz w:val="32"/>
          <w:szCs w:val="32"/>
        </w:rPr>
      </w:pPr>
      <w:r>
        <w:rPr>
          <w:rFonts w:eastAsia="仿宋_GB2312"/>
          <w:sz w:val="32"/>
          <w:szCs w:val="32"/>
        </w:rPr>
        <w:t>大力推动海港、空港枢纽建设，构建高效便捷的现代流通体系，增强国际集散功能，加快搭建进口贸易平台，建设“大商贸”产业载体，提升“买全球、卖全球”贸易功能。</w:t>
      </w:r>
    </w:p>
    <w:p>
      <w:pPr>
        <w:snapToGrid w:val="0"/>
        <w:spacing w:line="560" w:lineRule="exact"/>
        <w:ind w:firstLine="643"/>
        <w:rPr>
          <w:rFonts w:eastAsia="仿宋_GB2312"/>
          <w:sz w:val="32"/>
          <w:szCs w:val="32"/>
        </w:rPr>
      </w:pPr>
      <w:r>
        <w:rPr>
          <w:rFonts w:eastAsia="楷体_GB2312"/>
          <w:bCs/>
          <w:kern w:val="0"/>
          <w:sz w:val="32"/>
          <w:szCs w:val="32"/>
        </w:rPr>
        <w:t>1.建设北方国际航运枢纽。</w:t>
      </w:r>
      <w:r>
        <w:rPr>
          <w:rFonts w:eastAsia="仿宋_GB2312"/>
          <w:sz w:val="32"/>
          <w:szCs w:val="32"/>
        </w:rPr>
        <w:t>积极融入国家布局的京沪、沿海、中蒙俄、中国—中亚—西亚等物流大通道，大力推动港口型国家物流枢纽建设，加快完善现代港航基础设施和集疏运体系。强化天津港内陆物流网络，拓展内陆无水港布局，完善天津港雄安新区服务中心与保定、胜芳、白沟无水港“一中心三节点”服务功能。优化天津港“直通车”服务，围绕内陆当地物流园区场站建设，引入箱管服务功能，推动港口功能向内陆延伸。打造“公转铁+散改集”双示范绿色港口，积极拓展集装箱航线航班，重点发展集装箱干线运输，完善以天津港为中心的环渤海内支线网络。大力发展集装箱国际海铁联运功能，建立“长途精品班列+短途城际快运班列”体系，加强与三北地区及中亚、西亚、俄罗斯、蒙古、日本、韩国等国家和地区合作，发挥天津港“两个扇面”的独特作用。鼓励天津港集团与航运、铁路运输企业和第三方物流企业加强合资合作，支持天津港集团“走出去”，参与境外港口的资本和经营合作，显著提升天津港的国际物流供应链资源配置能力，打造世界一流的现代化国际枢纽港。大力发展航运服务，推动金融产品和服务创新，做大做强航运信贷、航运保险、物流金融、融资租赁等业务。</w:t>
      </w:r>
    </w:p>
    <w:p>
      <w:pPr>
        <w:snapToGrid w:val="0"/>
        <w:spacing w:line="560" w:lineRule="exact"/>
        <w:ind w:firstLine="641"/>
        <w:rPr>
          <w:rFonts w:eastAsia="仿宋_GB2312"/>
          <w:bCs/>
          <w:sz w:val="32"/>
          <w:szCs w:val="32"/>
          <w:lang w:val="en"/>
        </w:rPr>
      </w:pPr>
      <w:r>
        <w:rPr>
          <w:rFonts w:eastAsia="楷体_GB2312"/>
          <w:bCs/>
          <w:kern w:val="0"/>
          <w:sz w:val="32"/>
          <w:szCs w:val="32"/>
        </w:rPr>
        <w:t>2.建设国际航空物流中心。</w:t>
      </w:r>
      <w:r>
        <w:rPr>
          <w:rFonts w:eastAsia="仿宋_GB2312"/>
          <w:bCs/>
          <w:sz w:val="32"/>
          <w:szCs w:val="32"/>
        </w:rPr>
        <w:t>实施机场三期改扩建工程，加快推进航空口岸大通关基地、机场货库、临空经济区、机场货运通道等基础设施建设，提升航空货运保障能力。支持航空公司在津设立运营基地，支持天津货运航空等基地航空公司在津发展主运营基地和货运运营基地，积极引进全货运包机和客改货包机，吸引物流企业、货运代理等龙头企业入驻，大力培育航空金融、特色货运等适航产业，加快推动邮政快递、跨境电商、冷链物流等产业集聚发展。优化客货运航线网络，鼓励航空公司新开或加密国内全货机航线航班，支持开通欧洲、北美等全球主要航空货运枢纽机场航线航班，做大做强空空中转、空地联运等业务。</w:t>
      </w:r>
    </w:p>
    <w:p>
      <w:pPr>
        <w:snapToGrid w:val="0"/>
        <w:spacing w:line="560" w:lineRule="exact"/>
        <w:ind w:firstLine="643"/>
        <w:rPr>
          <w:rFonts w:eastAsia="仿宋_GB2312"/>
          <w:bCs/>
          <w:sz w:val="32"/>
          <w:szCs w:val="32"/>
        </w:rPr>
      </w:pPr>
      <w:r>
        <w:rPr>
          <w:rFonts w:eastAsia="楷体_GB2312"/>
          <w:bCs/>
          <w:kern w:val="0"/>
          <w:sz w:val="32"/>
          <w:szCs w:val="32"/>
        </w:rPr>
        <w:t>3.建设北方进口商品集散地。</w:t>
      </w:r>
      <w:r>
        <w:rPr>
          <w:rFonts w:eastAsia="仿宋_GB2312"/>
          <w:sz w:val="32"/>
          <w:szCs w:val="32"/>
        </w:rPr>
        <w:t>以北方国际航运核心区建设为引领，高水平建设国家进口贸易促进创新示范区，提升冷链物流配送中心建设，培育引进大宗农产品、消费品等进口贸易促进平台，拓展展示、交易、撮合、融资等平台功能，扩大我市优质消费品进口规模</w:t>
      </w:r>
      <w:r>
        <w:rPr>
          <w:rFonts w:eastAsia="仿宋_GB2312"/>
          <w:bCs/>
          <w:sz w:val="32"/>
          <w:szCs w:val="32"/>
        </w:rPr>
        <w:t>。</w:t>
      </w:r>
      <w:r>
        <w:rPr>
          <w:rFonts w:eastAsia="仿宋_GB2312"/>
          <w:sz w:val="32"/>
          <w:szCs w:val="32"/>
        </w:rPr>
        <w:t>保持天津口岸汽车进口优势，发展汽车保税仓储和转口保税增值服务，创新汽车平行进口监管服务机制。</w:t>
      </w:r>
    </w:p>
    <w:p>
      <w:pPr>
        <w:snapToGrid w:val="0"/>
        <w:spacing w:line="560" w:lineRule="exact"/>
        <w:ind w:firstLine="643"/>
        <w:rPr>
          <w:rFonts w:eastAsia="仿宋_GB2312"/>
          <w:bCs/>
          <w:sz w:val="32"/>
          <w:szCs w:val="32"/>
        </w:rPr>
      </w:pPr>
      <w:r>
        <w:rPr>
          <w:rFonts w:eastAsia="楷体_GB2312"/>
          <w:bCs/>
          <w:kern w:val="0"/>
          <w:sz w:val="32"/>
          <w:szCs w:val="32"/>
        </w:rPr>
        <w:t>4.发展免退税商店。</w:t>
      </w:r>
      <w:r>
        <w:rPr>
          <w:rFonts w:eastAsia="仿宋_GB2312"/>
          <w:bCs/>
          <w:sz w:val="32"/>
          <w:szCs w:val="32"/>
        </w:rPr>
        <w:t>优化“144小时过境免签” 政策，加快发展机场、邮轮港等口岸免税店，探索设立市内免税店。完善免税店政策，引导免税店、离境退税商店提高国产优质产品经营比重，鼓励境外旅客购买国产品牌。支持创建离境退税示范街区，扩大退税商店数量规模，支持在商业步行街、购物商圈、旅游景区、交通枢纽等设置一批退税购物商店。</w:t>
      </w:r>
    </w:p>
    <w:p>
      <w:pPr>
        <w:adjustRightInd w:val="0"/>
        <w:snapToGrid w:val="0"/>
        <w:spacing w:line="560" w:lineRule="exact"/>
        <w:ind w:firstLine="643"/>
        <w:rPr>
          <w:rFonts w:eastAsia="仿宋_GB2312"/>
          <w:bCs/>
          <w:sz w:val="32"/>
          <w:szCs w:val="32"/>
        </w:rPr>
      </w:pPr>
      <w:r>
        <w:rPr>
          <w:rFonts w:eastAsia="楷体_GB2312"/>
          <w:bCs/>
          <w:kern w:val="0"/>
          <w:sz w:val="32"/>
          <w:szCs w:val="32"/>
        </w:rPr>
        <w:t>5.打造“大商贸”产业载体。</w:t>
      </w:r>
      <w:r>
        <w:rPr>
          <w:rFonts w:eastAsia="仿宋_GB2312"/>
          <w:bCs/>
          <w:sz w:val="32"/>
          <w:szCs w:val="32"/>
        </w:rPr>
        <w:t>高水平建设自由贸易试验区，推进综合保税区功能升级。加快进口贸易平台建设，加快东疆国家级进口贸易促进创新示范区建设，集聚一批贸易型总部和功能型贸易机构，打造北方消费品进口集散地。推动北辰区全球商品贸易港项目建设，打造集展览展示、采购交易、商贸服务、消费零售等于一体的全球商品贸易基地。建设服务贸易集聚区，推动特色领域服务出口，高水平建设国家数字服务出口基地和中医药服务出口基地。推进中国（天津）跨境电子商务综合试验区建设。</w:t>
      </w:r>
    </w:p>
    <w:p>
      <w:pPr>
        <w:keepNext/>
        <w:keepLines/>
        <w:snapToGrid w:val="0"/>
        <w:spacing w:line="560" w:lineRule="exact"/>
        <w:ind w:firstLine="801"/>
        <w:outlineLvl w:val="1"/>
        <w:rPr>
          <w:rFonts w:eastAsia="楷体_GB2312"/>
          <w:kern w:val="0"/>
          <w:sz w:val="32"/>
          <w:szCs w:val="24"/>
        </w:rPr>
      </w:pPr>
      <w:bookmarkStart w:id="68" w:name="_Toc1674184034"/>
      <w:bookmarkStart w:id="69" w:name="_Toc1432414165_WPSOffice_Level2"/>
      <w:r>
        <w:rPr>
          <w:rFonts w:eastAsia="楷体_GB2312"/>
          <w:kern w:val="0"/>
          <w:sz w:val="32"/>
          <w:szCs w:val="24"/>
        </w:rPr>
        <w:t>（三）推动产业深度融合发展</w:t>
      </w:r>
    </w:p>
    <w:p>
      <w:pPr>
        <w:adjustRightInd w:val="0"/>
        <w:snapToGrid w:val="0"/>
        <w:spacing w:line="560" w:lineRule="exact"/>
        <w:ind w:firstLine="640"/>
        <w:rPr>
          <w:rFonts w:eastAsia="仿宋_GB2312"/>
          <w:bCs/>
          <w:sz w:val="32"/>
          <w:szCs w:val="32"/>
        </w:rPr>
      </w:pPr>
      <w:r>
        <w:rPr>
          <w:rFonts w:eastAsia="仿宋_GB2312"/>
          <w:bCs/>
          <w:sz w:val="32"/>
          <w:szCs w:val="32"/>
        </w:rPr>
        <w:t>落实创新驱动发展战略，推动服务技术、理念、业态和模式创新，重点促进服务业与农业、制造业的融合发展，推进服务业数字化，增强服务经济发展新动能。</w:t>
      </w:r>
    </w:p>
    <w:p>
      <w:pPr>
        <w:adjustRightInd w:val="0"/>
        <w:snapToGrid w:val="0"/>
        <w:spacing w:line="560" w:lineRule="exact"/>
        <w:ind w:firstLine="643"/>
        <w:rPr>
          <w:rFonts w:eastAsia="仿宋_GB2312"/>
          <w:bCs/>
          <w:sz w:val="32"/>
          <w:szCs w:val="32"/>
        </w:rPr>
      </w:pPr>
      <w:r>
        <w:rPr>
          <w:rFonts w:eastAsia="楷体_GB2312"/>
          <w:bCs/>
          <w:kern w:val="0"/>
          <w:sz w:val="32"/>
          <w:szCs w:val="32"/>
        </w:rPr>
        <w:t>1.促进服务业与农业深度融合发展。</w:t>
      </w:r>
      <w:r>
        <w:rPr>
          <w:rFonts w:eastAsia="仿宋_GB2312"/>
          <w:bCs/>
          <w:sz w:val="32"/>
          <w:szCs w:val="32"/>
        </w:rPr>
        <w:t>加快引导农业生产向生产、服务一体化转型，探索建立农业社会化服务综合平台，推动线上线下融合。支持利用农村自然生态、历史遗存、人文地理、乡村美食等资源，大力发展乡村旅游、健康养老、文化创意、农村电商等业态，推动农业“接二连三”。积极发展远洋渔业。支持宝坻、滨海新区等区创建国家级现代农业产业园，推进园区“生产+加工+科技”一体化发展。加快发展城市服务型农产品加工业和冷链物流业。加快发展农资经营、农业信息、技术服务、农业保险金融支持等专业化和市场化农业生产性服务业。培育乡村产业新业态，扶持创意农业发展，厚植“农业+”产业，推动品牌化建设。</w:t>
      </w:r>
    </w:p>
    <w:p>
      <w:pPr>
        <w:adjustRightInd w:val="0"/>
        <w:snapToGrid w:val="0"/>
        <w:spacing w:line="560" w:lineRule="exact"/>
        <w:ind w:firstLine="643"/>
        <w:rPr>
          <w:rFonts w:eastAsia="仿宋_GB2312"/>
          <w:sz w:val="32"/>
          <w:szCs w:val="32"/>
        </w:rPr>
      </w:pPr>
      <w:r>
        <w:rPr>
          <w:rFonts w:eastAsia="楷体_GB2312"/>
          <w:bCs/>
          <w:kern w:val="0"/>
          <w:sz w:val="32"/>
          <w:szCs w:val="32"/>
        </w:rPr>
        <w:t>2.促进服务业与制造业深度融合发展。</w:t>
      </w:r>
      <w:r>
        <w:rPr>
          <w:rFonts w:eastAsia="仿宋_GB2312"/>
          <w:bCs/>
          <w:sz w:val="32"/>
          <w:szCs w:val="32"/>
        </w:rPr>
        <w:t>深入落实制造业立市要求，推动制造业向研发设计、增值服务等价值链高端延伸，积极壮大环保节能服务，发展服务环节、深化业务关联，培育一批多元化融合发展主体，促进制造业重点行业和服务业重点领域双向深度融合。加快打造工业互联网平台，大力开发工业互联网软件和5G工业模组，推动5G与垂直行业融合发展。</w:t>
      </w:r>
      <w:r>
        <w:rPr>
          <w:rFonts w:eastAsia="仿宋_GB2312"/>
          <w:sz w:val="32"/>
          <w:szCs w:val="32"/>
        </w:rPr>
        <w:t>大力发展服务型制造，</w:t>
      </w:r>
      <w:r>
        <w:rPr>
          <w:rFonts w:eastAsia="仿宋_GB2312"/>
          <w:bCs/>
          <w:sz w:val="32"/>
          <w:szCs w:val="32"/>
        </w:rPr>
        <w:t>支持发展众包、云外包、平台分包等新模式，鼓励大企业向中小企业分包业务，带动中小企业进入全球价值链分工网络，</w:t>
      </w:r>
      <w:r>
        <w:rPr>
          <w:rFonts w:eastAsia="仿宋_GB2312"/>
          <w:sz w:val="32"/>
          <w:szCs w:val="32"/>
        </w:rPr>
        <w:t>支持有条件的制造业企业向一体化服务总集成总承包商转型。提高精细化、高品质物流服务供给能力和制造业产业链协同发展水平，增强制造业供应链弹性，推动主要制造业领域物流费用率下降。强化设计服务与先进制造的有机融合，</w:t>
      </w:r>
      <w:r>
        <w:rPr>
          <w:rFonts w:eastAsia="仿宋_GB2312"/>
          <w:bCs/>
          <w:sz w:val="32"/>
          <w:szCs w:val="32"/>
        </w:rPr>
        <w:t>引导设计服务企业与制造企业开展嵌入式合作，突破伺服机构设计、无人系统设计、关键装备设计等瓶颈，提升制造业设计能力。推进天津经济技术开发区开展国家级两业融合发展试点，</w:t>
      </w:r>
      <w:r>
        <w:rPr>
          <w:rFonts w:eastAsia="仿宋_GB2312"/>
          <w:sz w:val="32"/>
          <w:szCs w:val="32"/>
        </w:rPr>
        <w:t>在汽车制造、智能装备制造、生物医药等优势产业，加快培育形成融合新业态新模式，探索形成重点领域融合发展路径，打造成为两业融合推动高质量发展的样板和示范。</w:t>
      </w:r>
    </w:p>
    <w:tbl>
      <w:tblPr>
        <w:tblStyle w:val="2"/>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841" w:type="dxa"/>
            <w:noWrap w:val="0"/>
            <w:vAlign w:val="top"/>
          </w:tcPr>
          <w:p>
            <w:pPr>
              <w:jc w:val="center"/>
              <w:rPr>
                <w:rFonts w:eastAsia="黑体"/>
                <w:bCs/>
                <w:sz w:val="32"/>
                <w:szCs w:val="32"/>
              </w:rPr>
            </w:pPr>
            <w:r>
              <w:rPr>
                <w:rFonts w:eastAsia="黑体"/>
                <w:bCs/>
                <w:sz w:val="32"/>
                <w:szCs w:val="32"/>
              </w:rPr>
              <w:t>专栏4　经开区两业融合发展试点</w:t>
            </w:r>
          </w:p>
          <w:p>
            <w:pPr>
              <w:spacing w:line="520" w:lineRule="exact"/>
              <w:rPr>
                <w:rFonts w:eastAsia="楷体_GB2312"/>
                <w:sz w:val="32"/>
                <w:szCs w:val="24"/>
              </w:rPr>
            </w:pPr>
            <w:r>
              <w:rPr>
                <w:rFonts w:eastAsia="楷体_GB2312"/>
                <w:sz w:val="32"/>
                <w:szCs w:val="22"/>
              </w:rPr>
              <w:t>（一）</w:t>
            </w:r>
            <w:r>
              <w:rPr>
                <w:rFonts w:eastAsia="楷体_GB2312"/>
                <w:sz w:val="32"/>
                <w:szCs w:val="24"/>
              </w:rPr>
              <w:t>构建汽车制造服务融合生态</w:t>
            </w:r>
          </w:p>
          <w:p>
            <w:pPr>
              <w:spacing w:line="520" w:lineRule="exact"/>
              <w:ind w:firstLine="640" w:firstLineChars="200"/>
              <w:rPr>
                <w:rFonts w:eastAsia="仿宋_GB2312"/>
                <w:sz w:val="32"/>
                <w:szCs w:val="24"/>
              </w:rPr>
            </w:pPr>
            <w:r>
              <w:rPr>
                <w:rFonts w:eastAsia="仿宋_GB2312"/>
                <w:sz w:val="32"/>
                <w:szCs w:val="24"/>
              </w:rPr>
              <w:t>（1）加快延伸汽车产业链条，重点布局前端研发设计、后端服务领域，实现汽车制造与汽车服务深度融合的新局面。</w:t>
            </w:r>
          </w:p>
          <w:p>
            <w:pPr>
              <w:spacing w:line="520" w:lineRule="exact"/>
              <w:ind w:firstLine="640" w:firstLineChars="200"/>
              <w:rPr>
                <w:rFonts w:eastAsia="仿宋_GB2312"/>
                <w:sz w:val="32"/>
                <w:szCs w:val="24"/>
              </w:rPr>
            </w:pPr>
            <w:r>
              <w:rPr>
                <w:rFonts w:eastAsia="仿宋_GB2312"/>
                <w:sz w:val="32"/>
                <w:szCs w:val="24"/>
              </w:rPr>
              <w:t>（2）深化智能网联汽车产业链，推动汽车向智能移动空间升级，加快建成具有国际影响力的智能汽车产业高地。</w:t>
            </w:r>
          </w:p>
          <w:p>
            <w:pPr>
              <w:spacing w:line="520" w:lineRule="exact"/>
              <w:ind w:firstLine="640" w:firstLineChars="200"/>
              <w:rPr>
                <w:rFonts w:eastAsia="仿宋_GB2312"/>
                <w:sz w:val="32"/>
                <w:szCs w:val="24"/>
              </w:rPr>
            </w:pPr>
            <w:r>
              <w:rPr>
                <w:rFonts w:eastAsia="仿宋_GB2312"/>
                <w:sz w:val="32"/>
                <w:szCs w:val="24"/>
              </w:rPr>
              <w:t>（3）支持建设汽车智能工厂、工业旅游，发展布局一批汽车领域的融合新模式新业态。</w:t>
            </w:r>
          </w:p>
          <w:p>
            <w:pPr>
              <w:spacing w:line="520" w:lineRule="exact"/>
              <w:rPr>
                <w:rFonts w:eastAsia="楷体_GB2312"/>
                <w:sz w:val="32"/>
                <w:szCs w:val="24"/>
              </w:rPr>
            </w:pPr>
            <w:r>
              <w:rPr>
                <w:rFonts w:eastAsia="楷体_GB2312"/>
                <w:sz w:val="32"/>
                <w:szCs w:val="22"/>
              </w:rPr>
              <w:t>（二）</w:t>
            </w:r>
            <w:r>
              <w:rPr>
                <w:rFonts w:eastAsia="楷体_GB2312"/>
                <w:sz w:val="32"/>
                <w:szCs w:val="24"/>
              </w:rPr>
              <w:t>构建智能装备制造服务融合生态</w:t>
            </w:r>
          </w:p>
          <w:p>
            <w:pPr>
              <w:spacing w:line="520" w:lineRule="exact"/>
              <w:ind w:firstLine="640" w:firstLineChars="200"/>
              <w:rPr>
                <w:rFonts w:eastAsia="仿宋_GB2312"/>
                <w:sz w:val="32"/>
                <w:szCs w:val="24"/>
              </w:rPr>
            </w:pPr>
            <w:r>
              <w:rPr>
                <w:rFonts w:eastAsia="仿宋_GB2312"/>
                <w:sz w:val="32"/>
                <w:szCs w:val="24"/>
              </w:rPr>
              <w:t>（1）深化装备制造企业与“互联网+”融合发展，加快建设智能工厂，实现精准、柔性、高效生产。</w:t>
            </w:r>
          </w:p>
          <w:p>
            <w:pPr>
              <w:spacing w:line="520" w:lineRule="exact"/>
              <w:ind w:firstLine="640" w:firstLineChars="200"/>
              <w:rPr>
                <w:rFonts w:eastAsia="仿宋_GB2312"/>
                <w:sz w:val="32"/>
                <w:szCs w:val="24"/>
              </w:rPr>
            </w:pPr>
            <w:r>
              <w:rPr>
                <w:rFonts w:eastAsia="仿宋_GB2312"/>
                <w:sz w:val="32"/>
                <w:szCs w:val="24"/>
              </w:rPr>
              <w:t>（2）聚焦航天、能源、机器人等优势环节，重点发展智能装备产品及系统解决方案，加快建成智能装备制造聚集区。</w:t>
            </w:r>
          </w:p>
          <w:p>
            <w:pPr>
              <w:spacing w:line="520" w:lineRule="exact"/>
              <w:ind w:firstLine="640" w:firstLineChars="200"/>
              <w:rPr>
                <w:rFonts w:eastAsia="仿宋_GB2312"/>
                <w:sz w:val="32"/>
                <w:szCs w:val="24"/>
              </w:rPr>
            </w:pPr>
            <w:r>
              <w:rPr>
                <w:rFonts w:eastAsia="仿宋_GB2312"/>
                <w:sz w:val="32"/>
                <w:szCs w:val="24"/>
              </w:rPr>
              <w:t>（3）加快发展工业互联网、柔性化定制、智慧供应链，培育一批装备制造领域的融合新业态新模式。</w:t>
            </w:r>
          </w:p>
          <w:p>
            <w:pPr>
              <w:spacing w:line="560" w:lineRule="exact"/>
              <w:ind w:firstLine="640" w:firstLineChars="200"/>
              <w:rPr>
                <w:rFonts w:eastAsia="楷体_GB2312"/>
                <w:sz w:val="32"/>
                <w:szCs w:val="24"/>
              </w:rPr>
            </w:pPr>
            <w:r>
              <w:rPr>
                <w:rFonts w:eastAsia="楷体_GB2312"/>
                <w:sz w:val="32"/>
                <w:szCs w:val="22"/>
              </w:rPr>
              <w:t>（三）</w:t>
            </w:r>
            <w:r>
              <w:rPr>
                <w:rFonts w:eastAsia="楷体_GB2312"/>
                <w:sz w:val="32"/>
                <w:szCs w:val="24"/>
              </w:rPr>
              <w:t>构建创新型金融服务发展生态</w:t>
            </w:r>
          </w:p>
          <w:p>
            <w:pPr>
              <w:spacing w:line="560" w:lineRule="exact"/>
              <w:ind w:firstLine="640" w:firstLineChars="200"/>
              <w:rPr>
                <w:rFonts w:eastAsia="仿宋_GB2312"/>
                <w:sz w:val="32"/>
                <w:szCs w:val="24"/>
              </w:rPr>
            </w:pPr>
            <w:r>
              <w:rPr>
                <w:rFonts w:eastAsia="仿宋_GB2312"/>
                <w:sz w:val="32"/>
                <w:szCs w:val="24"/>
              </w:rPr>
              <w:t>（1）完善产业链金融体系，做强商业保理和融资租赁。</w:t>
            </w:r>
          </w:p>
          <w:p>
            <w:pPr>
              <w:spacing w:line="560" w:lineRule="exact"/>
              <w:ind w:firstLine="640" w:firstLineChars="200"/>
              <w:rPr>
                <w:rFonts w:eastAsia="仿宋_GB2312"/>
                <w:sz w:val="32"/>
                <w:szCs w:val="24"/>
              </w:rPr>
            </w:pPr>
            <w:r>
              <w:rPr>
                <w:rFonts w:eastAsia="仿宋_GB2312"/>
                <w:sz w:val="32"/>
                <w:szCs w:val="24"/>
              </w:rPr>
              <w:t>（2）鼓励发展新型资产管理，加快股权投资机构集聚。</w:t>
            </w:r>
          </w:p>
        </w:tc>
      </w:tr>
    </w:tbl>
    <w:p>
      <w:pPr>
        <w:spacing w:line="560" w:lineRule="exact"/>
        <w:ind w:firstLine="640" w:firstLineChars="200"/>
        <w:contextualSpacing/>
        <w:rPr>
          <w:rFonts w:eastAsia="仿宋_GB2312"/>
          <w:sz w:val="32"/>
          <w:szCs w:val="22"/>
        </w:rPr>
      </w:pPr>
      <w:r>
        <w:rPr>
          <w:rFonts w:eastAsia="楷体_GB2312"/>
          <w:bCs/>
          <w:sz w:val="32"/>
          <w:szCs w:val="32"/>
        </w:rPr>
        <w:t>3.促进服务业数字化。</w:t>
      </w:r>
      <w:r>
        <w:rPr>
          <w:rFonts w:eastAsia="仿宋_GB2312"/>
          <w:sz w:val="32"/>
          <w:szCs w:val="32"/>
        </w:rPr>
        <w:t>推动服务业企业数字化转型，</w:t>
      </w:r>
      <w:r>
        <w:rPr>
          <w:rFonts w:eastAsia="仿宋_GB2312"/>
          <w:sz w:val="32"/>
          <w:szCs w:val="22"/>
        </w:rPr>
        <w:t>鼓励生产性服务业企业设备联网上云、数据集成上云等深度用云模式，支持综合体、商品市场、大中型商场、超市、连锁店和其他生活服务业场所进行“人、货、场”云化改造。实施重点场景引领，围绕全国先进制造研发基地、国际航运核心区、金融创新运营示范区、国际消费中心城市、区域商贸中心城市和海空“双枢纽”建设，定期策划推出我市服务业数字化场景清单，培育壮大新型服务业态，打造服务业竞争新优势。推动服务业数字化集聚发展，打造一批服务业数字化集聚区、数字化园区、专业化数字主题楼宇。</w:t>
      </w:r>
    </w:p>
    <w:tbl>
      <w:tblPr>
        <w:tblStyle w:val="2"/>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841" w:type="dxa"/>
            <w:noWrap w:val="0"/>
            <w:vAlign w:val="top"/>
          </w:tcPr>
          <w:p>
            <w:pPr>
              <w:spacing w:line="560" w:lineRule="exact"/>
              <w:contextualSpacing/>
              <w:jc w:val="center"/>
              <w:rPr>
                <w:rFonts w:eastAsia="黑体"/>
                <w:sz w:val="32"/>
                <w:szCs w:val="22"/>
              </w:rPr>
            </w:pPr>
            <w:r>
              <w:rPr>
                <w:rFonts w:eastAsia="黑体"/>
                <w:bCs/>
                <w:sz w:val="32"/>
                <w:szCs w:val="32"/>
              </w:rPr>
              <w:t>专栏5　</w:t>
            </w:r>
            <w:r>
              <w:rPr>
                <w:rFonts w:eastAsia="黑体"/>
                <w:sz w:val="32"/>
                <w:szCs w:val="32"/>
              </w:rPr>
              <w:t>企业数字化转型行动</w:t>
            </w:r>
          </w:p>
          <w:p>
            <w:pPr>
              <w:spacing w:line="560" w:lineRule="exact"/>
              <w:ind w:firstLine="640" w:firstLineChars="200"/>
              <w:contextualSpacing/>
              <w:rPr>
                <w:rFonts w:eastAsia="仿宋_GB2312"/>
                <w:sz w:val="32"/>
                <w:szCs w:val="22"/>
              </w:rPr>
            </w:pPr>
            <w:r>
              <w:rPr>
                <w:rFonts w:eastAsia="楷体_GB2312"/>
                <w:sz w:val="32"/>
                <w:szCs w:val="22"/>
              </w:rPr>
              <w:t>（一）推动企业上云。</w:t>
            </w:r>
            <w:r>
              <w:rPr>
                <w:rFonts w:eastAsia="仿宋_GB2312"/>
                <w:sz w:val="32"/>
                <w:szCs w:val="22"/>
              </w:rPr>
              <w:t>鼓励生产性服务业企业设备联网上云、数据集成上云等深度用云模式。支持综合体、商品市场、大中型商场、超市、连锁店和其他生活服务业场所进行“人、货、场”云化改造，鼓励各类商家入驻生活服务和地理信息服务平台。培育一批上云标杆服务业企业。</w:t>
            </w:r>
          </w:p>
          <w:p>
            <w:pPr>
              <w:spacing w:line="560" w:lineRule="exact"/>
              <w:ind w:firstLine="640" w:firstLineChars="200"/>
              <w:contextualSpacing/>
              <w:rPr>
                <w:rFonts w:eastAsia="仿宋_GB2312"/>
                <w:sz w:val="32"/>
                <w:szCs w:val="22"/>
              </w:rPr>
            </w:pPr>
            <w:r>
              <w:rPr>
                <w:rFonts w:eastAsia="楷体_GB2312"/>
                <w:sz w:val="32"/>
                <w:szCs w:val="22"/>
              </w:rPr>
              <w:t>（二）推动共享制造发展。</w:t>
            </w:r>
            <w:r>
              <w:rPr>
                <w:rFonts w:eastAsia="仿宋_GB2312"/>
                <w:sz w:val="32"/>
                <w:szCs w:val="22"/>
              </w:rPr>
              <w:t>鼓励龙头企业建设共享工厂，集中配置通用性强、购置成本高的生产设备，面向社会开放产品开发、制造、物流配送等资源，提供研发设计、优化控制、质量监控等服务。支持工业互联网平台建设，发展平台接单、按工序分解、多工厂协同的共享制造模式。建设一批具备共享制造能力的示范车间（工厂）。</w:t>
            </w:r>
          </w:p>
          <w:p>
            <w:pPr>
              <w:spacing w:line="560" w:lineRule="exact"/>
              <w:ind w:firstLine="640" w:firstLineChars="200"/>
              <w:rPr>
                <w:rFonts w:eastAsia="仿宋_GB2312"/>
                <w:sz w:val="28"/>
                <w:szCs w:val="28"/>
              </w:rPr>
            </w:pPr>
            <w:r>
              <w:rPr>
                <w:rFonts w:eastAsia="楷体_GB2312"/>
                <w:sz w:val="32"/>
                <w:szCs w:val="22"/>
              </w:rPr>
              <w:t>（三）推动制造服务发展。</w:t>
            </w:r>
            <w:r>
              <w:rPr>
                <w:rFonts w:eastAsia="仿宋_GB2312"/>
                <w:sz w:val="32"/>
                <w:szCs w:val="22"/>
              </w:rPr>
              <w:t>推进制造业服务化和服务型制造，培育定制化服务、总集成总承包、全生命周期管理、供应链管理等新型服务业态。支持提供数字化、智能化产品研发设计、生产流程优化、设备运营维护和供应链管理等系列服务的专业服务业企业发展，助推中小微企业和产业链上下游企业提升数字化水平。培育一批具有较强自主创新能力和集成服务能力的天津服务供应商龙头企业。</w:t>
            </w:r>
          </w:p>
        </w:tc>
      </w:tr>
    </w:tbl>
    <w:p>
      <w:pPr>
        <w:keepNext/>
        <w:keepLines/>
        <w:snapToGrid w:val="0"/>
        <w:spacing w:line="560" w:lineRule="exact"/>
        <w:ind w:firstLine="801"/>
        <w:outlineLvl w:val="1"/>
        <w:rPr>
          <w:rFonts w:eastAsia="楷体_GB2312"/>
          <w:kern w:val="0"/>
          <w:sz w:val="32"/>
          <w:szCs w:val="24"/>
        </w:rPr>
      </w:pPr>
      <w:r>
        <w:rPr>
          <w:rFonts w:eastAsia="楷体_GB2312"/>
          <w:kern w:val="0"/>
          <w:sz w:val="32"/>
          <w:szCs w:val="24"/>
        </w:rPr>
        <w:t>（四）加快创新市场主体引育</w:t>
      </w:r>
      <w:bookmarkEnd w:id="65"/>
      <w:r>
        <w:rPr>
          <w:rFonts w:eastAsia="楷体_GB2312"/>
          <w:kern w:val="0"/>
          <w:sz w:val="32"/>
          <w:szCs w:val="24"/>
        </w:rPr>
        <w:t>集聚</w:t>
      </w:r>
      <w:bookmarkEnd w:id="68"/>
      <w:bookmarkEnd w:id="69"/>
    </w:p>
    <w:p>
      <w:pPr>
        <w:snapToGrid w:val="0"/>
        <w:spacing w:line="560" w:lineRule="exact"/>
        <w:ind w:firstLine="640"/>
        <w:rPr>
          <w:rFonts w:eastAsia="仿宋_GB2312"/>
          <w:sz w:val="32"/>
          <w:szCs w:val="32"/>
        </w:rPr>
      </w:pPr>
      <w:r>
        <w:rPr>
          <w:rFonts w:eastAsia="仿宋_GB2312"/>
          <w:sz w:val="32"/>
          <w:szCs w:val="32"/>
        </w:rPr>
        <w:t>大力引进服务业头部企业，引培高成长企业，推动服务业大企业平台化转型，促进制造企业服务化转型，打造一批参与国际分工、全球资源配置并具备较强竞争力的大企业大集团，显著提升对区域或全球经济活动的渗透力、影响力和控制力。</w:t>
      </w:r>
      <w:bookmarkStart w:id="70" w:name="_Toc4698"/>
    </w:p>
    <w:p>
      <w:pPr>
        <w:snapToGrid w:val="0"/>
        <w:spacing w:line="560" w:lineRule="exact"/>
        <w:ind w:firstLine="640"/>
        <w:rPr>
          <w:rFonts w:eastAsia="仿宋_GB2312"/>
          <w:sz w:val="32"/>
          <w:szCs w:val="32"/>
        </w:rPr>
      </w:pPr>
      <w:r>
        <w:rPr>
          <w:rFonts w:eastAsia="楷体_GB2312"/>
          <w:bCs/>
          <w:kern w:val="0"/>
          <w:sz w:val="32"/>
          <w:szCs w:val="32"/>
        </w:rPr>
        <w:t>1.引培产业链供应链头部企业</w:t>
      </w:r>
      <w:bookmarkEnd w:id="70"/>
      <w:r>
        <w:rPr>
          <w:rFonts w:eastAsia="楷体_GB2312"/>
          <w:bCs/>
          <w:kern w:val="0"/>
          <w:sz w:val="32"/>
          <w:szCs w:val="32"/>
        </w:rPr>
        <w:t>。</w:t>
      </w:r>
      <w:r>
        <w:rPr>
          <w:rFonts w:eastAsia="仿宋_GB2312"/>
          <w:sz w:val="32"/>
          <w:szCs w:val="32"/>
        </w:rPr>
        <w:t>重点围绕现代物流、会展服务、设计服务、科技服务、信创服务等生产性服务业领域，用足用好海河产业基金等相关政策措施，吸引国内外知名头部企业在天津设立区域性总部、功能性总部，推动科技创新、产品创新、市场创新和商业模式创新，引育一批处于价值链顶端、具有全产业链供应链号召力和国际影响力的龙头企业。发挥好龙头企业在产业链供应链领域推动者作用，深化与配套服务企业协同融合，引领产业链向高端跃升，不断提升供应链的安全性、可靠性和稳定性。</w:t>
      </w:r>
    </w:p>
    <w:p>
      <w:pPr>
        <w:snapToGrid w:val="0"/>
        <w:spacing w:line="560" w:lineRule="exact"/>
        <w:ind w:firstLine="643"/>
        <w:rPr>
          <w:rFonts w:eastAsia="楷体_GB2312"/>
          <w:sz w:val="32"/>
          <w:szCs w:val="32"/>
        </w:rPr>
      </w:pPr>
      <w:r>
        <w:rPr>
          <w:rFonts w:eastAsia="楷体_GB2312"/>
          <w:bCs/>
          <w:kern w:val="0"/>
          <w:sz w:val="32"/>
          <w:szCs w:val="32"/>
        </w:rPr>
        <w:t>2.引培专业化品牌化行业骨干企业。</w:t>
      </w:r>
      <w:r>
        <w:rPr>
          <w:rFonts w:eastAsia="仿宋_GB2312"/>
          <w:sz w:val="32"/>
          <w:szCs w:val="32"/>
        </w:rPr>
        <w:t>重点围绕大健康服务、文化旅游、教育培训、家政服务等生活性服务业领域，加快开展服务品牌培育和塑造工作，树立行业标杆和服务典范，引培一批具有国际竞争力的中国服务品牌企业和具有天津特色的区域服务品牌企业。鼓励企业先行探索，发展专业化服务，提供行业系统解决方案。支持大型商品交易市场供应链一体化建设，加快连锁经营布局，培育一批年销售额超过百亿元的批发和零售企业，吸引北京非首都功能疏解以及“三北”地区的进出口贸易、商贸物流等企业总部落户，将天津打造成为万商云集的商贸活动聚集地。</w:t>
      </w:r>
    </w:p>
    <w:p>
      <w:pPr>
        <w:snapToGrid w:val="0"/>
        <w:spacing w:line="560" w:lineRule="exact"/>
        <w:ind w:firstLine="643"/>
        <w:rPr>
          <w:rFonts w:eastAsia="仿宋_GB2312"/>
          <w:sz w:val="32"/>
          <w:szCs w:val="32"/>
        </w:rPr>
      </w:pPr>
      <w:r>
        <w:rPr>
          <w:rFonts w:eastAsia="楷体_GB2312"/>
          <w:bCs/>
          <w:kern w:val="0"/>
          <w:sz w:val="32"/>
          <w:szCs w:val="32"/>
        </w:rPr>
        <w:t>3.培育专精特新中小微企业。</w:t>
      </w:r>
      <w:r>
        <w:rPr>
          <w:rFonts w:eastAsia="仿宋_GB2312"/>
          <w:sz w:val="32"/>
          <w:szCs w:val="32"/>
        </w:rPr>
        <w:t xml:space="preserve">推动中小微服务业企业专业化、精益化、品质化发展，加快业态创新、模式创新和制度创新，在细分领域培育一批专精特新“小巨人”和“单项冠军”企业。引导中小微服务业企业推进品牌化标准化建设，鼓励其参评服务品牌和驰名商标。通过加强合资合作、深化业务关联、链条延伸、技术渗透、投融资等多种形式，支持中小微服务业企业做精做特、做大做强。   </w:t>
      </w:r>
    </w:p>
    <w:p>
      <w:pPr>
        <w:snapToGrid w:val="0"/>
        <w:spacing w:line="560" w:lineRule="exact"/>
        <w:ind w:firstLine="643"/>
        <w:rPr>
          <w:rFonts w:eastAsia="仿宋_GB2312"/>
          <w:sz w:val="32"/>
          <w:szCs w:val="32"/>
        </w:rPr>
      </w:pPr>
      <w:r>
        <w:rPr>
          <w:rFonts w:eastAsia="楷体_GB2312"/>
          <w:bCs/>
          <w:kern w:val="0"/>
          <w:sz w:val="32"/>
          <w:szCs w:val="32"/>
        </w:rPr>
        <w:t>4.激发其他各类主体市场活力。</w:t>
      </w:r>
      <w:r>
        <w:rPr>
          <w:rFonts w:eastAsia="仿宋_GB2312"/>
          <w:sz w:val="32"/>
          <w:szCs w:val="32"/>
        </w:rPr>
        <w:t>鼓励高等院校、科研院所等建立新型研发机构，加大技术攻关、成果转化力度，同时发挥好咨询、金融、投资、知识产权等服务机构的专业化优势，积极创业创新，发展新产业新业态。发挥行业协会在协调服务等方面的重要作用，鼓励建立跨区域、跨行业、跨领域的新型产业联盟。加快构建若干以平台型企业为主导的产业生态圈，发挥其整合资源、聚集企业的优势，促进产业集群集聚发展。</w:t>
      </w:r>
    </w:p>
    <w:bookmarkEnd w:id="63"/>
    <w:bookmarkEnd w:id="64"/>
    <w:p>
      <w:pPr>
        <w:keepNext/>
        <w:keepLines/>
        <w:snapToGrid w:val="0"/>
        <w:spacing w:line="560" w:lineRule="exact"/>
        <w:ind w:firstLine="801"/>
        <w:outlineLvl w:val="1"/>
        <w:rPr>
          <w:rFonts w:eastAsia="楷体_GB2312"/>
          <w:kern w:val="0"/>
          <w:sz w:val="32"/>
          <w:szCs w:val="24"/>
        </w:rPr>
      </w:pPr>
      <w:bookmarkStart w:id="71" w:name="_Toc24550965"/>
      <w:bookmarkStart w:id="72" w:name="_Toc10582"/>
      <w:bookmarkStart w:id="73" w:name="_Toc113979158_WPSOffice_Level2"/>
      <w:bookmarkStart w:id="74" w:name="_Toc1709319659"/>
      <w:r>
        <w:rPr>
          <w:rFonts w:eastAsia="楷体_GB2312"/>
          <w:kern w:val="0"/>
          <w:sz w:val="32"/>
          <w:szCs w:val="24"/>
        </w:rPr>
        <w:t>（五）提升服务业协同开放</w:t>
      </w:r>
      <w:bookmarkEnd w:id="71"/>
      <w:bookmarkEnd w:id="72"/>
      <w:r>
        <w:rPr>
          <w:rFonts w:eastAsia="楷体_GB2312"/>
          <w:kern w:val="0"/>
          <w:sz w:val="32"/>
          <w:szCs w:val="24"/>
        </w:rPr>
        <w:t>层级</w:t>
      </w:r>
      <w:bookmarkEnd w:id="73"/>
      <w:bookmarkEnd w:id="74"/>
    </w:p>
    <w:p>
      <w:pPr>
        <w:snapToGrid w:val="0"/>
        <w:spacing w:line="560" w:lineRule="exact"/>
        <w:ind w:firstLine="640"/>
        <w:rPr>
          <w:rFonts w:eastAsia="仿宋_GB2312"/>
          <w:sz w:val="32"/>
          <w:szCs w:val="32"/>
        </w:rPr>
      </w:pPr>
      <w:r>
        <w:rPr>
          <w:rFonts w:eastAsia="仿宋_GB2312"/>
          <w:sz w:val="32"/>
          <w:szCs w:val="32"/>
        </w:rPr>
        <w:t>紧抓京津冀协同、“一带一路”国家发展战略和自由贸易试验区等多重重大发展机遇，加大服务业开放创新力度，着力提升服务业区域协同发展水平和国际化开放水平，加快构建开放型经济新体制。</w:t>
      </w:r>
      <w:bookmarkStart w:id="75" w:name="_Toc19793"/>
    </w:p>
    <w:p>
      <w:pPr>
        <w:snapToGrid w:val="0"/>
        <w:spacing w:line="560" w:lineRule="exact"/>
        <w:ind w:firstLine="640"/>
        <w:rPr>
          <w:rFonts w:eastAsia="仿宋_GB2312"/>
          <w:sz w:val="32"/>
          <w:szCs w:val="32"/>
        </w:rPr>
      </w:pPr>
      <w:r>
        <w:rPr>
          <w:rFonts w:eastAsia="楷体_GB2312"/>
          <w:bCs/>
          <w:kern w:val="0"/>
          <w:sz w:val="32"/>
          <w:szCs w:val="32"/>
        </w:rPr>
        <w:t>1.提高服务业区域协同</w:t>
      </w:r>
      <w:bookmarkEnd w:id="75"/>
      <w:r>
        <w:rPr>
          <w:rFonts w:eastAsia="楷体_GB2312"/>
          <w:bCs/>
          <w:kern w:val="0"/>
          <w:sz w:val="32"/>
          <w:szCs w:val="32"/>
        </w:rPr>
        <w:t>化水平。</w:t>
      </w:r>
      <w:r>
        <w:rPr>
          <w:rFonts w:eastAsia="仿宋_GB2312"/>
          <w:sz w:val="32"/>
          <w:szCs w:val="32"/>
        </w:rPr>
        <w:t>加快打造滨海—中关村科技园、</w:t>
      </w:r>
      <w:r>
        <w:rPr>
          <w:rFonts w:eastAsia="仿宋_GB2312"/>
          <w:sz w:val="32"/>
          <w:szCs w:val="32"/>
          <w:lang w:val="en"/>
        </w:rPr>
        <w:t>宝坻</w:t>
      </w:r>
      <w:r>
        <w:rPr>
          <w:rFonts w:eastAsia="仿宋_GB2312"/>
          <w:sz w:val="32"/>
          <w:szCs w:val="32"/>
        </w:rPr>
        <w:t>京津中关村科技城、中日（天津）健康产业发展合作示范区等重点载体，吸引更多北京服务业企业来津投资或业务延伸。支持引导京津冀三地服务业龙头企业和行业协会等组织，联合共建京津冀服务业重点领域资源共享平台，实现资源在区域内高效流通和配置。探索构建京津高端人才市场体系与社交网络，联合打造京津冀人力资源信息共享与服务对接模式，加强人力资源政策、劳动用工政策衔接，建立人才市场一体化机制。定期组织京津冀服务业创新论坛、创新大赛等活动，共同推进与京冀服务业创新成果交流转化。建立京津冀服务业联盟，促进三地服务业企业合资合作和协同创新。加深与港澳台地区的交流联系，促进人力资源、物流、会计、管理咨询等领域的深层次合作。</w:t>
      </w:r>
    </w:p>
    <w:p>
      <w:pPr>
        <w:snapToGrid w:val="0"/>
        <w:spacing w:line="560" w:lineRule="exact"/>
        <w:ind w:firstLine="643"/>
        <w:rPr>
          <w:rFonts w:eastAsia="仿宋_GB2312"/>
          <w:sz w:val="32"/>
          <w:szCs w:val="32"/>
        </w:rPr>
      </w:pPr>
      <w:bookmarkStart w:id="76" w:name="_Toc11608"/>
      <w:r>
        <w:rPr>
          <w:rFonts w:eastAsia="楷体_GB2312"/>
          <w:bCs/>
          <w:kern w:val="0"/>
          <w:sz w:val="32"/>
          <w:szCs w:val="32"/>
        </w:rPr>
        <w:t>2.提升服务业国际化开放</w:t>
      </w:r>
      <w:bookmarkEnd w:id="76"/>
      <w:r>
        <w:rPr>
          <w:rFonts w:eastAsia="楷体_GB2312"/>
          <w:bCs/>
          <w:kern w:val="0"/>
          <w:sz w:val="32"/>
          <w:szCs w:val="32"/>
        </w:rPr>
        <w:t>水平。</w:t>
      </w:r>
      <w:r>
        <w:rPr>
          <w:rFonts w:eastAsia="仿宋_GB2312"/>
          <w:sz w:val="32"/>
          <w:szCs w:val="32"/>
        </w:rPr>
        <w:t>用好区域全面经济伙伴关系协定（RCEP），全面提升服务贸易开放合作水平。深化与“一带一路”市场对接和贸易往来，推动在沿线国家和地区布局电子商务海外仓。积极推进中蒙俄、中巴等国际经济合作走廊建设。加快境内外产业园区建设，打造国际合作承接载体。推动境外经贸合作区梯队建设。深化中意战略合作，高标准建设天津意大利中小企业产业园。积极引进国际性行业协会、国际性组织的总部或分支机构，加快服务业体系与国际接轨。鼓励服务业企业全面融入国际创新网络，通过开展跨国技术并购、设立海外第二总部等方式提升企业对全球高端资源的整合链接能力。积极推动天津市服务业扩大开放综合试点，重点围绕金融、航运物流、信息技术、医疗等领域，深化改革，扩大开放，提升服务业的国际竞争力和整体发展水平。</w:t>
      </w:r>
    </w:p>
    <w:p>
      <w:pPr>
        <w:snapToGrid w:val="0"/>
        <w:spacing w:line="560" w:lineRule="exact"/>
        <w:ind w:firstLine="643"/>
        <w:rPr>
          <w:rFonts w:eastAsia="仿宋_GB2312"/>
          <w:sz w:val="32"/>
          <w:szCs w:val="32"/>
        </w:rPr>
      </w:pPr>
      <w:bookmarkStart w:id="77" w:name="_Toc6003"/>
      <w:r>
        <w:rPr>
          <w:rFonts w:eastAsia="楷体_GB2312"/>
          <w:bCs/>
          <w:kern w:val="0"/>
          <w:sz w:val="32"/>
          <w:szCs w:val="32"/>
        </w:rPr>
        <w:t>3.</w:t>
      </w:r>
      <w:bookmarkEnd w:id="77"/>
      <w:r>
        <w:rPr>
          <w:rFonts w:eastAsia="楷体_GB2312"/>
          <w:bCs/>
          <w:kern w:val="0"/>
          <w:sz w:val="32"/>
          <w:szCs w:val="32"/>
        </w:rPr>
        <w:t>打造世界一流的自由贸易园区。</w:t>
      </w:r>
      <w:r>
        <w:rPr>
          <w:rFonts w:eastAsia="仿宋_GB2312"/>
          <w:sz w:val="32"/>
          <w:szCs w:val="32"/>
        </w:rPr>
        <w:t>深化自贸试验区“首创性”制度创新，积极推进投资、贸易、金融、人员、数据、运输等领域创新突破，实现全要素、全过程、全链条的贸易和投资自由化。积极推动自贸试验区扩展区域，探索在滨海高新技术产业开发区、中新天津生态城等区域建设自贸试验区联动创新区，推动实现滨海“全域自贸”。建设国内国际经济双向循环的重要资源要素配置枢纽，探索保税燃供、国际海员管理、整船换装等海运政策创新，支持天津港加快建设北方国际航运枢纽。推进综合保税区功能升级，积极探索“综保+自贸”制度创新举措，强化国际贸易、科技创新等服务功能。实施跨境服务贸易负面清单管理制度。用好自由贸易账户政策，推动开展服务市场需求的离岸、跨境等金融创新业务，增强跨境投融资服务功能。建设中日韩自贸区战略先导区，深化与韩国仁川自由经济区等韩国、日本特殊经济区域的战略协作关系。加强在高端制造、电子信息、生物医药、医疗美容、健康养老、文化旅游、教育培训等方面的资本和项目合作，促进中日韩优势产业深度融合。</w:t>
      </w:r>
    </w:p>
    <w:p>
      <w:pPr>
        <w:keepNext/>
        <w:keepLines/>
        <w:snapToGrid w:val="0"/>
        <w:spacing w:line="560" w:lineRule="exact"/>
        <w:ind w:firstLine="801"/>
        <w:outlineLvl w:val="1"/>
        <w:rPr>
          <w:rFonts w:eastAsia="楷体_GB2312"/>
          <w:kern w:val="0"/>
          <w:sz w:val="32"/>
          <w:szCs w:val="24"/>
        </w:rPr>
      </w:pPr>
      <w:bookmarkStart w:id="78" w:name="_Toc28121"/>
      <w:bookmarkStart w:id="79" w:name="_Toc24550966"/>
      <w:bookmarkStart w:id="80" w:name="_Toc992079790"/>
      <w:bookmarkStart w:id="81" w:name="_Toc1854980010_WPSOffice_Level2"/>
      <w:r>
        <w:rPr>
          <w:rFonts w:eastAsia="楷体_GB2312"/>
          <w:kern w:val="0"/>
          <w:sz w:val="32"/>
          <w:szCs w:val="24"/>
        </w:rPr>
        <w:t>（六）</w:t>
      </w:r>
      <w:bookmarkEnd w:id="78"/>
      <w:bookmarkEnd w:id="79"/>
      <w:r>
        <w:rPr>
          <w:rFonts w:eastAsia="楷体_GB2312"/>
          <w:kern w:val="0"/>
          <w:sz w:val="32"/>
          <w:szCs w:val="24"/>
        </w:rPr>
        <w:t>加强服务业制度供给</w:t>
      </w:r>
      <w:bookmarkEnd w:id="80"/>
      <w:bookmarkEnd w:id="81"/>
    </w:p>
    <w:p>
      <w:pPr>
        <w:widowControl/>
        <w:snapToGrid w:val="0"/>
        <w:spacing w:line="560" w:lineRule="exact"/>
        <w:ind w:firstLine="640" w:firstLineChars="200"/>
        <w:rPr>
          <w:rFonts w:eastAsia="仿宋_GB2312"/>
          <w:sz w:val="32"/>
          <w:szCs w:val="32"/>
        </w:rPr>
      </w:pPr>
      <w:r>
        <w:rPr>
          <w:rFonts w:eastAsia="仿宋_GB2312"/>
          <w:sz w:val="32"/>
          <w:szCs w:val="32"/>
        </w:rPr>
        <w:t>以服务业制度创新为发展导向，推动适应服务业和新经济规律的制度供给，营造公平开放制度环境，健全服务业新经济制度体系，创新政策体系和监测机制，为服务业创新发展提供完善的准入、发展、监管、政策一体化的保障。</w:t>
      </w:r>
      <w:bookmarkStart w:id="82" w:name="_Toc29545"/>
    </w:p>
    <w:p>
      <w:pPr>
        <w:widowControl/>
        <w:snapToGrid w:val="0"/>
        <w:spacing w:line="560" w:lineRule="exact"/>
        <w:ind w:firstLine="640" w:firstLineChars="200"/>
        <w:rPr>
          <w:rFonts w:eastAsia="仿宋_GB2312"/>
          <w:b/>
          <w:sz w:val="32"/>
          <w:szCs w:val="32"/>
        </w:rPr>
      </w:pPr>
      <w:r>
        <w:rPr>
          <w:rFonts w:eastAsia="楷体_GB2312"/>
          <w:bCs/>
          <w:kern w:val="0"/>
          <w:sz w:val="32"/>
          <w:szCs w:val="32"/>
        </w:rPr>
        <w:t>1.营造公平高效制度环境</w:t>
      </w:r>
      <w:bookmarkEnd w:id="82"/>
      <w:r>
        <w:rPr>
          <w:rFonts w:eastAsia="楷体_GB2312"/>
          <w:bCs/>
          <w:kern w:val="0"/>
          <w:sz w:val="32"/>
          <w:szCs w:val="32"/>
        </w:rPr>
        <w:t>。</w:t>
      </w:r>
      <w:r>
        <w:rPr>
          <w:rFonts w:eastAsia="仿宋_GB2312"/>
          <w:sz w:val="32"/>
          <w:szCs w:val="32"/>
        </w:rPr>
        <w:t>坚持“法无禁止即可为”，严格执行市场准入负面清单制度，放宽服务业市场准入门槛，各类市场主体皆可依法平等进入。健全向社会资本推介项目长效机制，支持社会资本进入教育、医疗、卫生、养老等公共服务领域。坚持审慎包容监管，在严守安全底线的前提下为新兴服务业态留足发展空间。强化反垄断和防止资本无序扩张，维护公平竞争市场环境。加快数字政府建设，推动各类政务服务平台跨地区、跨部门的互联互通，实现信息共享和业务协同，提升政府服务效能。推进服务业标准化，鼓励社会团体、企业和标准化服务机构针对我市主导产业和特色产业，研究制定先进标准，加快培育以提供标准服务为核心的专业机构。</w:t>
      </w:r>
    </w:p>
    <w:p>
      <w:pPr>
        <w:snapToGrid w:val="0"/>
        <w:spacing w:line="560" w:lineRule="exact"/>
        <w:ind w:firstLine="643"/>
        <w:rPr>
          <w:rFonts w:eastAsia="仿宋_GB2312"/>
          <w:bCs/>
          <w:sz w:val="32"/>
          <w:szCs w:val="32"/>
        </w:rPr>
      </w:pPr>
      <w:bookmarkStart w:id="83" w:name="_Toc18592"/>
      <w:r>
        <w:rPr>
          <w:rFonts w:eastAsia="楷体_GB2312"/>
          <w:bCs/>
          <w:kern w:val="0"/>
          <w:sz w:val="32"/>
          <w:szCs w:val="32"/>
        </w:rPr>
        <w:t>2.创新服务业新经济制度</w:t>
      </w:r>
      <w:bookmarkEnd w:id="83"/>
      <w:r>
        <w:rPr>
          <w:rFonts w:eastAsia="楷体_GB2312"/>
          <w:bCs/>
          <w:kern w:val="0"/>
          <w:sz w:val="32"/>
          <w:szCs w:val="32"/>
        </w:rPr>
        <w:t>。</w:t>
      </w:r>
      <w:r>
        <w:rPr>
          <w:rFonts w:eastAsia="仿宋_GB2312"/>
          <w:sz w:val="32"/>
          <w:szCs w:val="32"/>
        </w:rPr>
        <w:t>围绕智慧养老、工业互联网、智慧物流等重点领域，加快健全新场景供给、新就业形态人员参保等在内的新经济制度环境。探索在金融科技、科技服务、商务服务等领域开展“业界共治”试点，建立包括政府、重点企业、专业平台、投资基金、产业智库等多维主体在内的服务业共治理事会。实行服务业大数据创新治理，充分利用互联网、大数据等技术手段，联合第三方专业服务机构，搭建服务业大数据平台，汇集政府部门、服务业企业、行业协会、服务业载体等多方数据，探索形成信息及时准确、分析系统全面、决策科学高效、效果客观评估的数字化治理机制。</w:t>
      </w:r>
    </w:p>
    <w:p>
      <w:pPr>
        <w:snapToGrid w:val="0"/>
        <w:spacing w:line="560" w:lineRule="exact"/>
        <w:ind w:firstLine="643"/>
        <w:rPr>
          <w:rFonts w:eastAsia="仿宋_GB2312"/>
          <w:bCs/>
          <w:sz w:val="32"/>
          <w:szCs w:val="32"/>
        </w:rPr>
      </w:pPr>
      <w:bookmarkStart w:id="84" w:name="_Toc22193"/>
      <w:r>
        <w:rPr>
          <w:rFonts w:eastAsia="楷体_GB2312"/>
          <w:bCs/>
          <w:kern w:val="0"/>
          <w:sz w:val="32"/>
          <w:szCs w:val="32"/>
        </w:rPr>
        <w:t>3.</w:t>
      </w:r>
      <w:bookmarkEnd w:id="84"/>
      <w:r>
        <w:rPr>
          <w:rFonts w:eastAsia="楷体_GB2312"/>
          <w:bCs/>
          <w:kern w:val="0"/>
          <w:sz w:val="32"/>
          <w:szCs w:val="32"/>
        </w:rPr>
        <w:t>完善服务业统计机制。</w:t>
      </w:r>
      <w:r>
        <w:rPr>
          <w:rFonts w:eastAsia="仿宋_GB2312"/>
          <w:sz w:val="32"/>
          <w:szCs w:val="32"/>
        </w:rPr>
        <w:t>健全服务业统计调查方法</w:t>
      </w:r>
      <w:r>
        <w:rPr>
          <w:rFonts w:eastAsia="仿宋_GB2312"/>
          <w:bCs/>
          <w:sz w:val="32"/>
          <w:szCs w:val="32"/>
        </w:rPr>
        <w:t>和指标体系，加快建立符合产业发展新趋势的服务业统计指标体系。完善服务业重点行业、新兴行业的统计范围和统计指标，加强运行监测、阶段评估和动态分析。加强部门联动、职责分工和数据共享，完善全市重点企业统计监测系统，开展服务业运行监测。支持行业协会开展行业统计调查。积极探索利用大数据、云计算、区块链等前沿技术，提升服务业统计监测的效率和水平。</w:t>
      </w:r>
      <w:bookmarkStart w:id="85" w:name="_Toc1297"/>
    </w:p>
    <w:p>
      <w:pPr>
        <w:keepNext/>
        <w:keepLines/>
        <w:snapToGrid w:val="0"/>
        <w:spacing w:line="560" w:lineRule="exact"/>
        <w:outlineLvl w:val="0"/>
        <w:rPr>
          <w:rFonts w:eastAsia="黑体"/>
          <w:bCs/>
          <w:kern w:val="44"/>
          <w:sz w:val="32"/>
          <w:szCs w:val="44"/>
        </w:rPr>
      </w:pPr>
      <w:bookmarkStart w:id="86" w:name="_Toc1729331178"/>
      <w:r>
        <w:rPr>
          <w:rFonts w:eastAsia="黑体"/>
          <w:bCs/>
          <w:kern w:val="44"/>
          <w:sz w:val="32"/>
          <w:szCs w:val="44"/>
        </w:rPr>
        <w:t xml:space="preserve">    </w:t>
      </w:r>
      <w:bookmarkStart w:id="87" w:name="_Toc1691930163_WPSOffice_Level1"/>
      <w:r>
        <w:rPr>
          <w:rFonts w:eastAsia="黑体"/>
          <w:bCs/>
          <w:kern w:val="44"/>
          <w:sz w:val="32"/>
          <w:szCs w:val="44"/>
        </w:rPr>
        <w:t>六、保障措施</w:t>
      </w:r>
      <w:bookmarkEnd w:id="85"/>
      <w:bookmarkEnd w:id="86"/>
      <w:bookmarkEnd w:id="87"/>
      <w:bookmarkStart w:id="88" w:name="_Toc11051"/>
    </w:p>
    <w:p>
      <w:pPr>
        <w:keepNext/>
        <w:keepLines/>
        <w:snapToGrid w:val="0"/>
        <w:spacing w:line="560" w:lineRule="exact"/>
        <w:ind w:firstLine="801"/>
        <w:outlineLvl w:val="1"/>
        <w:rPr>
          <w:rFonts w:eastAsia="楷体_GB2312"/>
          <w:kern w:val="0"/>
          <w:sz w:val="32"/>
          <w:szCs w:val="24"/>
        </w:rPr>
      </w:pPr>
      <w:bookmarkStart w:id="89" w:name="_Toc911309480_WPSOffice_Level2"/>
      <w:bookmarkStart w:id="90" w:name="_Toc575945822"/>
      <w:r>
        <w:rPr>
          <w:rFonts w:eastAsia="楷体_GB2312"/>
          <w:kern w:val="0"/>
          <w:sz w:val="32"/>
          <w:szCs w:val="24"/>
        </w:rPr>
        <w:t>（一）</w:t>
      </w:r>
      <w:bookmarkEnd w:id="88"/>
      <w:r>
        <w:rPr>
          <w:rFonts w:eastAsia="楷体_GB2312"/>
          <w:kern w:val="0"/>
          <w:sz w:val="32"/>
          <w:szCs w:val="24"/>
        </w:rPr>
        <w:t>抓好规划组织实施</w:t>
      </w:r>
      <w:bookmarkEnd w:id="89"/>
      <w:bookmarkEnd w:id="90"/>
    </w:p>
    <w:p>
      <w:pPr>
        <w:snapToGrid w:val="0"/>
        <w:spacing w:line="560" w:lineRule="exact"/>
        <w:ind w:firstLine="643"/>
        <w:rPr>
          <w:rFonts w:eastAsia="仿宋_GB2312"/>
          <w:bCs/>
          <w:sz w:val="32"/>
          <w:szCs w:val="32"/>
        </w:rPr>
      </w:pPr>
      <w:r>
        <w:rPr>
          <w:rFonts w:eastAsia="仿宋_GB2312"/>
          <w:bCs/>
          <w:sz w:val="32"/>
          <w:szCs w:val="32"/>
        </w:rPr>
        <w:t>加强组织领导，强化部门协同和上下联动，统筹协调解决全市服务业发展中的跨区域、跨领域和跨部门重大问题。加强对规划实施情况的跟踪分析和督促检查，并适时组织规划实施评估。市级有关部门各司其职、密切配合，合力推动规划各项重点任务落实落地。各区结合实际，研究制定配套政策措施，加快推进各类服务业集聚区和重大项目建设。加强服务业发展和改革的宣传报导，营造良好社会环境，推动规划有效实施。</w:t>
      </w:r>
    </w:p>
    <w:p>
      <w:pPr>
        <w:keepNext/>
        <w:keepLines/>
        <w:snapToGrid w:val="0"/>
        <w:spacing w:line="560" w:lineRule="exact"/>
        <w:ind w:firstLine="801"/>
        <w:outlineLvl w:val="1"/>
        <w:rPr>
          <w:rFonts w:eastAsia="楷体_GB2312"/>
          <w:kern w:val="0"/>
          <w:sz w:val="32"/>
          <w:szCs w:val="24"/>
        </w:rPr>
      </w:pPr>
      <w:bookmarkStart w:id="91" w:name="_Toc1853685960"/>
      <w:bookmarkStart w:id="92" w:name="_Toc1052849171_WPSOffice_Level2"/>
      <w:r>
        <w:rPr>
          <w:rFonts w:eastAsia="楷体_GB2312"/>
          <w:kern w:val="0"/>
          <w:sz w:val="32"/>
          <w:szCs w:val="24"/>
        </w:rPr>
        <w:t>（二）加强专业人才引聚</w:t>
      </w:r>
      <w:bookmarkEnd w:id="91"/>
      <w:bookmarkEnd w:id="92"/>
    </w:p>
    <w:p>
      <w:pPr>
        <w:widowControl/>
        <w:snapToGrid w:val="0"/>
        <w:spacing w:line="560" w:lineRule="exact"/>
        <w:ind w:firstLine="640" w:firstLineChars="200"/>
        <w:rPr>
          <w:rFonts w:eastAsia="仿宋_GB2312"/>
          <w:bCs/>
          <w:sz w:val="32"/>
          <w:szCs w:val="32"/>
        </w:rPr>
      </w:pPr>
      <w:r>
        <w:rPr>
          <w:rFonts w:eastAsia="仿宋_GB2312"/>
          <w:bCs/>
          <w:sz w:val="32"/>
          <w:szCs w:val="32"/>
        </w:rPr>
        <w:t>以产业需求为导向引入人才，围绕重点服务领域，梳理分析急需专业岗位，定期编制发布高层次和紧缺人才目录，明确引才指向。加快培育大数据、人工智能、物联网等领域高技术人才，推动物流、家政、旅游等专业人才队伍建设。探索“产业人才+创新团队+创新项目”定向培养模式。支持我市各类院校增设服务业紧缺专业，建立现代服务业人才公共实训基地。完善人才发展环境，健全人才引进激励机制，落实天津市高层次人才引进政策，为人才提供生活配套、创业扶持、人事代理等全方位服务。打造高素质服务业企业家队伍。</w:t>
      </w:r>
    </w:p>
    <w:p>
      <w:pPr>
        <w:widowControl/>
        <w:spacing w:line="560" w:lineRule="exact"/>
        <w:ind w:firstLine="640" w:firstLineChars="200"/>
        <w:rPr>
          <w:rFonts w:eastAsia="楷体_GB2312"/>
          <w:kern w:val="0"/>
          <w:sz w:val="32"/>
          <w:szCs w:val="22"/>
        </w:rPr>
      </w:pPr>
      <w:bookmarkStart w:id="93" w:name="_Toc387141708_WPSOffice_Level2"/>
      <w:bookmarkStart w:id="94" w:name="_Toc1333570935"/>
      <w:r>
        <w:rPr>
          <w:rFonts w:eastAsia="楷体_GB2312"/>
          <w:kern w:val="0"/>
          <w:sz w:val="32"/>
          <w:szCs w:val="22"/>
        </w:rPr>
        <w:t>（三）强化项目支撑</w:t>
      </w:r>
      <w:bookmarkEnd w:id="93"/>
      <w:bookmarkEnd w:id="94"/>
    </w:p>
    <w:p>
      <w:pPr>
        <w:widowControl/>
        <w:snapToGrid w:val="0"/>
        <w:spacing w:line="560" w:lineRule="exact"/>
        <w:ind w:firstLine="640" w:firstLineChars="200"/>
        <w:rPr>
          <w:rFonts w:eastAsia="仿宋_GB2312"/>
          <w:sz w:val="32"/>
          <w:szCs w:val="32"/>
        </w:rPr>
      </w:pPr>
      <w:r>
        <w:rPr>
          <w:rFonts w:eastAsia="仿宋_GB2312"/>
          <w:sz w:val="32"/>
          <w:szCs w:val="32"/>
        </w:rPr>
        <w:t>加大招商引资力度，各区各部门结合自身优势，根据区域发展定位和主攻方向，重点引进国内外龙头企业、新经济企业、隐形冠军企业等。加强项目筹划谋划，围绕京津冀协同发展、一基地三区、双城格局、两个中心建设等，加快谋划建设一批利长远、增后劲的重大项目。建立项目推进机制，按照“洽谈储备一批、签约落地一批、开工建设一批”的要求，形成项目库，建立重大项目绿色通道，推动项目落地实施。强化项目政策保障，落实促进服务业发展的财税、金融、产业、用地、用海、价格等各项政策，确保用地、用海、用能、资金等资源要素跟着项目走。</w:t>
      </w:r>
    </w:p>
    <w:p>
      <w:pPr>
        <w:keepNext/>
        <w:keepLines/>
        <w:spacing w:line="560" w:lineRule="exact"/>
        <w:ind w:firstLine="801"/>
        <w:outlineLvl w:val="1"/>
        <w:rPr>
          <w:rFonts w:eastAsia="楷体_GB2312"/>
          <w:kern w:val="0"/>
          <w:sz w:val="32"/>
          <w:szCs w:val="24"/>
        </w:rPr>
      </w:pPr>
      <w:bookmarkStart w:id="95" w:name="_Toc1586571736_WPSOffice_Level2"/>
      <w:bookmarkStart w:id="96" w:name="_Toc1080217308"/>
      <w:r>
        <w:rPr>
          <w:rFonts w:eastAsia="楷体_GB2312"/>
          <w:kern w:val="0"/>
          <w:sz w:val="32"/>
          <w:szCs w:val="24"/>
        </w:rPr>
        <w:t>（四）强化安全生产保障</w:t>
      </w:r>
      <w:bookmarkEnd w:id="95"/>
      <w:bookmarkEnd w:id="96"/>
    </w:p>
    <w:p>
      <w:r>
        <w:rPr>
          <w:rFonts w:eastAsia="仿宋_GB2312"/>
          <w:sz w:val="32"/>
          <w:szCs w:val="32"/>
        </w:rPr>
        <w:t>把保护人民生命安全摆在首位，牢固树立“隐患就是事故、事故就要处理”理念，突出依法治理、源头治理和综合治理。健全安全生产责任体系，落实企业主体责任、属地主管责任、行业监管责任。强化安全监管，加强安全知识宣传和技能培训，完善安全生产设施配套，加大隐患排查治理，健全应急预案体系，建立应急队伍，提高突发事件快速响应和高效联动处置能力，有效防范和遏制各类安全事故发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汉仪方隶简">
    <w:altName w:val="Arial Unicode MS"/>
    <w:panose1 w:val="02010600000101010101"/>
    <w:charset w:val="86"/>
    <w:family w:val="auto"/>
    <w:pitch w:val="default"/>
    <w:sig w:usb0="00000000" w:usb1="00000000" w:usb2="00000002"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9DD21"/>
    <w:multiLevelType w:val="singleLevel"/>
    <w:tmpl w:val="BDF9DD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10140"/>
    <w:rsid w:val="799101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2021-08-03T02:15:00Z</dcterms:created>
  <dc:creator>春龙</dc:creator>
  <cp:lastModifiedBy>春龙</cp:lastModifiedBy>
  <dcterms:modified xsi:type="dcterms:W3CDTF">2021-08-03T02:16:21Z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E94E04610B284E6CA89D264BF28B5B18</vt:lpwstr>
  </property>
</Properties>
</file>