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r>
        <w:rPr>
          <w:rFonts w:eastAsia="方正小标宋简体"/>
          <w:sz w:val="44"/>
          <w:szCs w:val="44"/>
        </w:rPr>
        <w:t>天津市社会信用体系建设“十四五”规划</w:t>
      </w:r>
    </w:p>
    <w:p>
      <w:pPr>
        <w:spacing w:line="560" w:lineRule="exact"/>
        <w:jc w:val="center"/>
        <w:rPr>
          <w:b/>
          <w:sz w:val="44"/>
          <w:szCs w:val="44"/>
        </w:rPr>
      </w:pPr>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社会信用体系建设是推动天津市改革开放和经济社会全面发展的重要支撑，是优化营商环境、完善社会主义市场经济体制、加强和创新社会治理体制的重要手段。为科学指导“十四五”时期全市社会信用体系建设工作，根据党中央、国务院的决策部署和市委、市政府有关要求，结合我市实际，编制本规划。</w:t>
      </w:r>
    </w:p>
    <w:p>
      <w:pPr>
        <w:keepNext/>
        <w:keepLines/>
        <w:spacing w:line="560" w:lineRule="exact"/>
        <w:ind w:firstLine="640" w:firstLineChars="200"/>
        <w:outlineLvl w:val="0"/>
        <w:rPr>
          <w:rFonts w:eastAsia="黑体"/>
          <w:bCs/>
          <w:kern w:val="0"/>
          <w:sz w:val="32"/>
          <w:szCs w:val="32"/>
        </w:rPr>
      </w:pPr>
      <w:bookmarkStart w:id="0" w:name="_Toc50991153"/>
      <w:bookmarkStart w:id="1" w:name="_Toc64899204"/>
      <w:r>
        <w:rPr>
          <w:rFonts w:hAnsi="黑体" w:eastAsia="黑体"/>
          <w:bCs/>
          <w:kern w:val="0"/>
          <w:sz w:val="32"/>
          <w:szCs w:val="32"/>
        </w:rPr>
        <w:t>一、发展现状及形势需求</w:t>
      </w:r>
      <w:bookmarkEnd w:id="0"/>
      <w:bookmarkEnd w:id="1"/>
    </w:p>
    <w:p>
      <w:pPr>
        <w:keepNext/>
        <w:keepLines/>
        <w:spacing w:line="560" w:lineRule="exact"/>
        <w:ind w:firstLine="640" w:firstLineChars="200"/>
        <w:outlineLvl w:val="1"/>
        <w:rPr>
          <w:rFonts w:eastAsia="楷体_GB2312"/>
          <w:bCs/>
          <w:kern w:val="0"/>
          <w:sz w:val="32"/>
          <w:szCs w:val="32"/>
        </w:rPr>
      </w:pPr>
      <w:bookmarkStart w:id="2" w:name="_Toc50991154"/>
      <w:bookmarkStart w:id="3" w:name="_Toc64899205"/>
      <w:r>
        <w:rPr>
          <w:rFonts w:eastAsia="楷体_GB2312"/>
          <w:bCs/>
          <w:kern w:val="0"/>
          <w:sz w:val="32"/>
          <w:szCs w:val="32"/>
        </w:rPr>
        <w:t>（一）发展现状</w:t>
      </w:r>
      <w:bookmarkEnd w:id="2"/>
      <w:bookmarkEnd w:id="3"/>
    </w:p>
    <w:p>
      <w:pPr>
        <w:widowControl/>
        <w:overflowPunct w:val="0"/>
        <w:spacing w:line="560" w:lineRule="exact"/>
        <w:ind w:firstLine="640" w:firstLineChars="200"/>
        <w:rPr>
          <w:rFonts w:hint="eastAsia" w:eastAsia="仿宋_GB2312"/>
          <w:kern w:val="0"/>
          <w:sz w:val="32"/>
          <w:szCs w:val="32"/>
        </w:rPr>
      </w:pPr>
      <w:r>
        <w:rPr>
          <w:rFonts w:eastAsia="仿宋_GB2312"/>
          <w:kern w:val="0"/>
          <w:sz w:val="32"/>
          <w:szCs w:val="32"/>
        </w:rPr>
        <w:t>“十三五”期间，市委、市政府高度重视社会信用体系建设，坚持高位推动，成立天津市诚信建设领导小组，统筹推进全市诚信建设工作；紧抓顶层设计，在全国较早出台综合</w:t>
      </w:r>
      <w:bookmarkStart w:id="46" w:name="_GoBack"/>
      <w:bookmarkEnd w:id="46"/>
      <w:r>
        <w:rPr>
          <w:rFonts w:eastAsia="仿宋_GB2312"/>
          <w:kern w:val="0"/>
          <w:sz w:val="32"/>
          <w:szCs w:val="32"/>
        </w:rPr>
        <w:t>性地方信用法规，不断提升信用建设依法依规水平；强化基础建设，初步形成“1+16+N”信用信息系统架构，基本实现信用主体全面覆盖、信用数据全域归集；拓展应用场景，立足“信易批”“信易贷”“信易游”等，积极推动信用惠民便企；聚焦核心工作，规范信用奖惩和失信治理，重点领域信用建设有序推进；完善信用生态，促进信用服务市场规范发展，“诚信天津”品牌建设成效初现。在市委、市政府的正确领导下，在各区、各部门共同推进下，我市城市信用监测综合排名大幅度跃升至全国前列，社会信用环境持续改善，有力支撑了营商环境优化和社会治理创新，为“十四五”时期我市</w:t>
      </w:r>
    </w:p>
    <w:p>
      <w:pPr>
        <w:widowControl/>
        <w:overflowPunct w:val="0"/>
        <w:spacing w:line="560" w:lineRule="exact"/>
        <w:rPr>
          <w:rFonts w:eastAsia="仿宋_GB2312"/>
          <w:kern w:val="0"/>
          <w:sz w:val="32"/>
          <w:szCs w:val="32"/>
        </w:rPr>
      </w:pPr>
      <w:r>
        <w:rPr>
          <w:rFonts w:eastAsia="仿宋_GB2312"/>
          <w:kern w:val="0"/>
          <w:sz w:val="32"/>
          <w:szCs w:val="32"/>
        </w:rPr>
        <w:t>推进社会信用体系建设取得新的更大成效奠定了良好基础。</w:t>
      </w:r>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1.组织推动机制不断健全。畅通协调机制，成立由市委、市政府领导同志任组长、副组长，全市49个市级部门和16个区主要负责同志为成员的天津市诚信建设领导小组，形成联动运作的工作模式。完善机构设置，在市发展改革委增设信用管理处，组建天津市公共信用中心，推动各区发展改革部门加强信用工作机构建设，在各区组建公共信用中心，建立市级部门、各区诚信建设评估机制，基本形成党政齐抓、上下联动、群策群力的工作格局。</w:t>
      </w:r>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2.信用法治建设加快推进。信用立法走在全国前列，出台实施《天津市社会信用条例》，以社会信用为主线，结合我市社会信用体系建设实践经验，对我市信用信息归集共享、守信激励和失信惩戒、信用监管和信用应用、信用服务市场等方面作出规定，进一步提升信用建设工作的合法性、规范性、精准性和安全性，为推动我市社会治理体系和治理能力现代化，提升精神文明建设水平提供法治保障。</w:t>
      </w:r>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3.制度引领作用继续强化。印发《天津市社会信用体系建设规划（2014-2020年）》及《规划任务分工》，发布《天津市加快推进诚信建设行动方案》《天津市行业信用监管责任体系构建工作方案》《关于加快推进失信被执行人信用监管、警示和惩戒机制建设的实施意见》《天津市加强政务诚信建设实施》《天津市加强个人诚信体系建设实施方案》，在市场主体信用信息管理、失信被执行人惩戒机制、政务诚信、个人诚信、集中治理诚信缺失突出问题等领域，陆续制定管理办法和诚信建设实施方案。印发《天津市社会信用体系建设工作要点》，不断规范、细化各领域信用制度，为社会信用信息管理、政务诚信、个人诚信、信用监管等信用工作提供制度保障。</w:t>
      </w:r>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4.信息基础建设逐步加强。建成并运行天津市信用信息共享平台，实现信息查询、信用修复、信用核查、红黑名单、联合奖惩、数据统计等多项功能。市级信用平台、区级信用平台、重点行业部门信息系统互联互通，初步建成“1+16+N”信用信息系统架构。梳理制定《天津市公共信用信息目录》，广泛归集信用信息近8亿条，基本覆盖全市法人和自然人主体。充分发挥“信用中国（天津）”网站的服务窗口作用，为信用主体提供信用信息查询、信用报告下载、信用承诺发布、异议申诉、信用修复、自主申报等“一站式”线上信用服务，打造信用服务完整闭环。</w:t>
      </w:r>
    </w:p>
    <w:p>
      <w:pPr>
        <w:widowControl/>
        <w:overflowPunct w:val="0"/>
        <w:spacing w:line="560" w:lineRule="exact"/>
        <w:ind w:firstLine="640" w:firstLineChars="200"/>
        <w:rPr>
          <w:rFonts w:hint="eastAsia" w:eastAsia="仿宋_GB2312"/>
          <w:kern w:val="0"/>
          <w:sz w:val="32"/>
          <w:szCs w:val="32"/>
        </w:rPr>
      </w:pPr>
      <w:r>
        <w:rPr>
          <w:rFonts w:eastAsia="仿宋_GB2312"/>
          <w:kern w:val="0"/>
          <w:sz w:val="32"/>
          <w:szCs w:val="32"/>
        </w:rPr>
        <w:t>5.重点领域建设成果丰硕。全面推行统一社会信用代码制度，完成法人和其他组织统一社会信用代码赋码工作，实现赋码率100%。大力开展行政许可、行政处罚信息“双公示”，基本实现“双公示”信息自作出行政决定之日起7个工作日内上网公开。联合奖惩工作初见成效，推动相关行业（领域）依托行政机关联合监管系统依法依规实施联合奖惩，截至“十三五”末，全市归集红黑名单总量26.3万条、联合奖惩案例近8.6万个。大力推进失信被执行人治理，政务失信案例清零，</w:t>
      </w:r>
      <w:r>
        <w:rPr>
          <w:rFonts w:hAnsi="Calibri" w:eastAsia="仿宋_GB2312"/>
          <w:bCs/>
          <w:sz w:val="32"/>
          <w:szCs w:val="32"/>
        </w:rPr>
        <w:t>防疫物资产品质量和市场秩序、</w:t>
      </w:r>
      <w:r>
        <w:rPr>
          <w:rFonts w:eastAsia="仿宋_GB2312"/>
          <w:kern w:val="0"/>
          <w:sz w:val="32"/>
          <w:szCs w:val="32"/>
        </w:rPr>
        <w:t>交通运输、电信网络诈骗、安全生产、统计等领域专项治理工作</w:t>
      </w:r>
    </w:p>
    <w:p>
      <w:pPr>
        <w:widowControl/>
        <w:overflowPunct w:val="0"/>
        <w:spacing w:line="560" w:lineRule="exact"/>
        <w:rPr>
          <w:rFonts w:eastAsia="仿宋_GB2312"/>
          <w:kern w:val="0"/>
          <w:sz w:val="32"/>
          <w:szCs w:val="32"/>
        </w:rPr>
      </w:pPr>
      <w:r>
        <w:rPr>
          <w:rFonts w:eastAsia="仿宋_GB2312"/>
          <w:kern w:val="0"/>
          <w:sz w:val="32"/>
          <w:szCs w:val="32"/>
        </w:rPr>
        <w:t>成效显著。重点行业信用监管责任体系初步形成，多个领域制定出台信用监管相关制度，实现分类监管、动态监管、精准监管。</w:t>
      </w:r>
    </w:p>
    <w:p>
      <w:pPr>
        <w:spacing w:line="560" w:lineRule="exact"/>
        <w:ind w:firstLine="640"/>
        <w:rPr>
          <w:rFonts w:eastAsia="仿宋_GB2312"/>
          <w:kern w:val="0"/>
          <w:sz w:val="32"/>
          <w:szCs w:val="32"/>
        </w:rPr>
      </w:pPr>
      <w:r>
        <w:rPr>
          <w:rFonts w:eastAsia="仿宋_GB2312"/>
          <w:kern w:val="0"/>
          <w:sz w:val="32"/>
          <w:szCs w:val="32"/>
        </w:rPr>
        <w:t>6.惠民便企应用多点开花。开展“信易批”“信易贷”“信易游”“信易医”等多个“信易+”创新应用，信用应用场景不断丰富，应用价值逐步显现。开展承诺制审批，实现容缺受理的“信易批”事项数量占全部审批事项数量的100%，大幅提高行政审批效率。建成运行</w:t>
      </w:r>
      <w:r>
        <w:rPr>
          <w:rFonts w:eastAsia="仿宋_GB2312"/>
          <w:sz w:val="32"/>
          <w:szCs w:val="32"/>
        </w:rPr>
        <w:t>天津市中小企业融资综合信用服务平台</w:t>
      </w:r>
      <w:r>
        <w:rPr>
          <w:rFonts w:eastAsia="仿宋_GB2312"/>
          <w:kern w:val="0"/>
          <w:sz w:val="32"/>
          <w:szCs w:val="32"/>
        </w:rPr>
        <w:t>，充分利用税务等数据支持守信企业获得信贷支持，</w:t>
      </w:r>
      <w:r>
        <w:rPr>
          <w:rFonts w:eastAsia="仿宋_GB2312"/>
          <w:sz w:val="32"/>
          <w:szCs w:val="32"/>
        </w:rPr>
        <w:t>在2020年全国信用大数据应用场景征集活动评选中，该平台获得“优秀应用奖”并在全国推广。截至2020年12月31日，5.3万家守信中小企业累计获得600亿元信用贷款，有效缓解了中小企业融资难、融资慢和融资贵问题。</w:t>
      </w:r>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7.诚信宣传教育不断深入。制定《天津市关于进一步推进诚信文化建设的实施方案》，加强诚信教育引导、注重实践养成、选树诚信典型、营造诚实守信舆论氛围。广泛利用各类媒体开展“诚信建设万里行”</w:t>
      </w:r>
      <w:r>
        <w:rPr>
          <w:rFonts w:hAnsi="仿宋_GB2312" w:eastAsia="仿宋_GB2312"/>
          <w:kern w:val="0"/>
          <w:sz w:val="32"/>
          <w:szCs w:val="32"/>
        </w:rPr>
        <w:t>系列宣传教育活动，通过进校园、进企业、进社区等多样场景方式，普及信用知识。</w:t>
      </w:r>
      <w:r>
        <w:rPr>
          <w:rFonts w:eastAsia="仿宋_GB2312"/>
          <w:kern w:val="0"/>
          <w:sz w:val="32"/>
          <w:szCs w:val="32"/>
        </w:rPr>
        <w:t>举办诚信教育专题培训活动，开展“信用让消费更放心”“诚信宣传月”等主题实践活动。注重发挥“信用中国（天津）”网站的窗口导向作用，线上线下联动，知信、守信、用信的社会氛围日益浓厚。</w:t>
      </w:r>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8.多方共建局面初步形成。推进京津冀信用体系合作共建，出台</w:t>
      </w:r>
      <w:r>
        <w:rPr>
          <w:rFonts w:eastAsia="仿宋_GB2312"/>
          <w:sz w:val="32"/>
          <w:szCs w:val="32"/>
        </w:rPr>
        <w:t>《京津冀守信联合激励试点建设方案（2020-2024年）》和《京津冀区域协同社会信用标准框架协议》。</w:t>
      </w:r>
      <w:r>
        <w:rPr>
          <w:rFonts w:eastAsia="仿宋_GB2312"/>
          <w:kern w:val="0"/>
          <w:sz w:val="32"/>
          <w:szCs w:val="32"/>
        </w:rPr>
        <w:t>以滨海新区、武清区为重点，开展京津冀守信联合激励试点示范。成立天津市信用协会、天津</w:t>
      </w:r>
      <w:r>
        <w:rPr>
          <w:rFonts w:ascii="Times New Roman" w:hAnsi="Times New Roman" w:eastAsia="仿宋_GB2312" w:cs="Times New Roman"/>
          <w:kern w:val="0"/>
          <w:sz w:val="32"/>
          <w:szCs w:val="32"/>
        </w:rPr>
        <w:t>市</w:t>
      </w:r>
      <w:r>
        <w:rPr>
          <w:rFonts w:hint="eastAsia" w:ascii="Times New Roman" w:hAnsi="Times New Roman" w:eastAsia="仿宋_GB2312" w:cs="Times New Roman"/>
          <w:kern w:val="0"/>
          <w:sz w:val="32"/>
          <w:szCs w:val="32"/>
          <w:lang w:eastAsia="zh-CN"/>
        </w:rPr>
        <w:t>社会</w:t>
      </w:r>
      <w:r>
        <w:rPr>
          <w:rFonts w:ascii="Times New Roman" w:hAnsi="Times New Roman" w:eastAsia="仿宋_GB2312" w:cs="Times New Roman"/>
          <w:kern w:val="0"/>
          <w:sz w:val="32"/>
          <w:szCs w:val="32"/>
        </w:rPr>
        <w:t>信用标</w:t>
      </w:r>
      <w:r>
        <w:rPr>
          <w:rFonts w:eastAsia="仿宋_GB2312"/>
          <w:kern w:val="0"/>
          <w:sz w:val="32"/>
          <w:szCs w:val="32"/>
        </w:rPr>
        <w:t>准化技术委员会、天津市企业诚信协会，推动行业协会、商会信用建设。引进信用服务机构，培育信用服务市场，支持信用服务机构参与信用立法、信用规划、城市信用监测、“信易+”应用、信用APP开发等社会信用体系建设。</w:t>
      </w:r>
    </w:p>
    <w:p>
      <w:pPr>
        <w:keepNext/>
        <w:keepLines/>
        <w:spacing w:line="560" w:lineRule="exact"/>
        <w:ind w:firstLine="640" w:firstLineChars="200"/>
        <w:outlineLvl w:val="1"/>
        <w:rPr>
          <w:rFonts w:eastAsia="楷体_GB2312"/>
          <w:bCs/>
          <w:kern w:val="0"/>
          <w:sz w:val="32"/>
          <w:szCs w:val="32"/>
        </w:rPr>
      </w:pPr>
      <w:bookmarkStart w:id="4" w:name="_Toc64899206"/>
      <w:bookmarkStart w:id="5" w:name="_Toc50991155"/>
      <w:bookmarkStart w:id="6" w:name="_Toc47781864"/>
      <w:r>
        <w:rPr>
          <w:rFonts w:eastAsia="楷体_GB2312"/>
          <w:bCs/>
          <w:kern w:val="0"/>
          <w:sz w:val="32"/>
          <w:szCs w:val="32"/>
        </w:rPr>
        <w:t>（二）存在问题</w:t>
      </w:r>
      <w:bookmarkEnd w:id="4"/>
      <w:bookmarkEnd w:id="5"/>
      <w:bookmarkEnd w:id="6"/>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“十三五”期间，我市社会信用体系建设取得阶段性进展，为“十四五”期间的拓展提升奠定了坚实基础，但我市社会信用体系建设还存在薄弱环节。</w:t>
      </w:r>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1.政策支撑体系尚未健全。对标《社会信用体系建设规划纲要（2014-2020年）》，我市信用制度标准体系有待完善，信用制度公开程度不高，部分领域配套措施有所欠缺。</w:t>
      </w:r>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2.信用基础设施亟待提升。市信用信息共享平台功能尚不完善，数据治理、数据分析、信用评价等信用数据价值发挥不充分，信用门户网站社会服务功能有待提升；各区信用信息共享平台功能单一，作用发挥不明显；重点行业（领域）信用信息系统建设滞后，支撑行业信用监管能力不足。</w:t>
      </w:r>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3.行业信用监管机制相对滞后。各行业（领域）信用监管制度尚未全面建立，部分行政机关运用信用手段实施精准监管意识不强，和长三角、珠三角等地区相比，开展行业信用监管的领域、信用报告应用的场景等方面还有一定差距。</w:t>
      </w:r>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4.区域信用建设发展不均衡。各区社会信用体系建设起步较晚、发展水平不一，支撑“放管服”改革和优化营商环境作用不明显，尚无全国信用体系建设示范区，与上海、江苏、浙江、广东等省市相比存在很大差距。京津冀信用合作共建机制有待完善，守信联合激励应用场景不够丰富。</w:t>
      </w:r>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5.信用服务市场不够活跃。信用服务机构少、体量小、影响力不足，信用服务产品应用场景不足，信用服务机构参与社会信用体系建设的程度不高。支持信用服务产业发展的配套政策有待完善，信用管理师职业技能培训和等级评价工作尚未开展。</w:t>
      </w:r>
    </w:p>
    <w:p>
      <w:pPr>
        <w:keepNext/>
        <w:keepLines/>
        <w:spacing w:line="560" w:lineRule="exact"/>
        <w:ind w:firstLine="640" w:firstLineChars="200"/>
        <w:outlineLvl w:val="1"/>
        <w:rPr>
          <w:rFonts w:eastAsia="楷体_GB2312"/>
          <w:bCs/>
          <w:kern w:val="0"/>
          <w:sz w:val="32"/>
          <w:szCs w:val="32"/>
        </w:rPr>
      </w:pPr>
      <w:bookmarkStart w:id="7" w:name="_Toc64899207"/>
      <w:bookmarkStart w:id="8" w:name="_Toc50991156"/>
      <w:bookmarkStart w:id="9" w:name="_Toc47781865"/>
      <w:r>
        <w:rPr>
          <w:rFonts w:eastAsia="楷体_GB2312"/>
          <w:bCs/>
          <w:kern w:val="0"/>
          <w:sz w:val="32"/>
          <w:szCs w:val="32"/>
        </w:rPr>
        <w:t>（三）形势需求</w:t>
      </w:r>
      <w:bookmarkEnd w:id="7"/>
      <w:bookmarkEnd w:id="8"/>
      <w:bookmarkEnd w:id="9"/>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全面加快社会信用体系建设是践行社会主义核心价值观的必然要求。诚信是社会和谐的基石和重要特征，继承和发扬中华民族重信守诺的传统美德，弘扬与社会主义市场经济相适应的诚信理念、诚信文化、契约精神，是传承民族品性、倡导社会新风、培育和践行社会主义核心价值观的重要内容。</w:t>
      </w:r>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全面加快社会信用体系建设是实现高质量发展的必然要求。社会主义市场经济是信用经济、法治经济。信用体系建设是政府职能转变、推进“放管服”改革的重要抓手。加快构建以信用为基础的新型监管机制，激励守信、惩戒失信，加强信用主体权益保护，是提升社会治理、监管水平，助推经济社会高质量发展的重要手段。</w:t>
      </w:r>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全面加快社会信用体系建设是实现我市城市发展目标和功能定位的必然要求。“十四五”时期是我市开启全面建设社会主义现代化大都市新征程的第一个五年，是构建新发展格局的关键时期，是基本实现“一基地三区”功能定位的决战决胜时期。面对经济发展迈上新台阶和治理效能不断提升的发展要求，社会信用体系建设的跨区域、跨行业、跨部门的协同需求将更为显著，建设更为便利、持续创新的社会信用体系势在必行。</w:t>
      </w:r>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全面加快社会信用体系建设是营造良好营商环境的必然要求。社会信用体系建设与营商环境密切相关，夯实社会信用体系建设是提升营商环境的重要抓手，是提升城市软实力的重要举措。加快社会信用体系建设，推动政府治理体系、治理能力现代化，必将为打造市场化法治化国际化营商环境提供有力支撑。</w:t>
      </w:r>
    </w:p>
    <w:p>
      <w:pPr>
        <w:keepNext/>
        <w:keepLines/>
        <w:spacing w:line="560" w:lineRule="exact"/>
        <w:ind w:firstLine="640" w:firstLineChars="200"/>
        <w:outlineLvl w:val="0"/>
        <w:rPr>
          <w:rFonts w:eastAsia="黑体"/>
          <w:bCs/>
          <w:kern w:val="0"/>
          <w:sz w:val="32"/>
          <w:szCs w:val="32"/>
        </w:rPr>
      </w:pPr>
      <w:bookmarkStart w:id="10" w:name="_Toc56692419"/>
      <w:bookmarkStart w:id="11" w:name="_Toc64899208"/>
      <w:r>
        <w:rPr>
          <w:rFonts w:hAnsi="黑体" w:eastAsia="黑体"/>
          <w:bCs/>
          <w:kern w:val="0"/>
          <w:sz w:val="32"/>
          <w:szCs w:val="32"/>
        </w:rPr>
        <w:t>二、社会信用体系建设指导思想、基本原则和发展目标</w:t>
      </w:r>
      <w:bookmarkEnd w:id="10"/>
      <w:bookmarkEnd w:id="11"/>
    </w:p>
    <w:p>
      <w:pPr>
        <w:keepNext/>
        <w:keepLines/>
        <w:spacing w:line="560" w:lineRule="exact"/>
        <w:ind w:firstLine="640" w:firstLineChars="200"/>
        <w:outlineLvl w:val="1"/>
        <w:rPr>
          <w:rFonts w:eastAsia="楷体_GB2312"/>
          <w:bCs/>
          <w:kern w:val="0"/>
          <w:sz w:val="32"/>
          <w:szCs w:val="32"/>
        </w:rPr>
      </w:pPr>
      <w:bookmarkStart w:id="12" w:name="_Toc64899209"/>
      <w:bookmarkStart w:id="13" w:name="_Toc56692420"/>
      <w:r>
        <w:rPr>
          <w:rFonts w:eastAsia="楷体_GB2312"/>
          <w:bCs/>
          <w:kern w:val="0"/>
          <w:sz w:val="32"/>
          <w:szCs w:val="32"/>
        </w:rPr>
        <w:t>（一）指导思想</w:t>
      </w:r>
      <w:bookmarkEnd w:id="12"/>
      <w:bookmarkEnd w:id="13"/>
    </w:p>
    <w:p>
      <w:pPr>
        <w:spacing w:line="560" w:lineRule="exact"/>
        <w:ind w:firstLine="640" w:firstLineChars="200"/>
        <w:rPr>
          <w:rFonts w:hint="eastAsia" w:eastAsia="仿宋_GB2312"/>
          <w:kern w:val="0"/>
          <w:sz w:val="32"/>
          <w:szCs w:val="32"/>
        </w:rPr>
      </w:pPr>
      <w:bookmarkStart w:id="14" w:name="_Toc64899210"/>
      <w:bookmarkStart w:id="15" w:name="_Toc56692421"/>
      <w:r>
        <w:rPr>
          <w:rFonts w:eastAsia="仿宋_GB2312"/>
          <w:kern w:val="0"/>
          <w:sz w:val="32"/>
          <w:szCs w:val="32"/>
        </w:rPr>
        <w:t>以习近平新时代中国特色社会主义思想为指导，深入贯彻党的十九</w:t>
      </w:r>
      <w:r>
        <w:rPr>
          <w:rFonts w:ascii="Times New Roman" w:hAnsi="Times New Roman" w:eastAsia="仿宋_GB2312" w:cs="Times New Roman"/>
          <w:kern w:val="0"/>
          <w:sz w:val="32"/>
          <w:szCs w:val="32"/>
        </w:rPr>
        <w:t>大</w:t>
      </w:r>
      <w:r>
        <w:rPr>
          <w:rFonts w:hint="eastAsia" w:ascii="Times New Roman" w:hAnsi="Times New Roman" w:eastAsia="仿宋_GB2312" w:cs="Times New Roman"/>
          <w:kern w:val="0"/>
          <w:sz w:val="32"/>
          <w:szCs w:val="32"/>
          <w:lang w:eastAsia="zh-CN"/>
        </w:rPr>
        <w:t>和</w:t>
      </w:r>
      <w:r>
        <w:rPr>
          <w:rFonts w:ascii="Times New Roman" w:hAnsi="Times New Roman" w:eastAsia="仿宋_GB2312" w:cs="Times New Roman"/>
          <w:kern w:val="0"/>
          <w:sz w:val="32"/>
          <w:szCs w:val="32"/>
        </w:rPr>
        <w:t>十九</w:t>
      </w:r>
      <w:r>
        <w:rPr>
          <w:rFonts w:eastAsia="仿宋_GB2312"/>
          <w:kern w:val="0"/>
          <w:sz w:val="32"/>
          <w:szCs w:val="32"/>
        </w:rPr>
        <w:t>届二中、三中、四中、五中全会精神，牢固贯彻落实习近平总书记“三个着力”重要要求，全面落实党中央、国务院和市委、市政府关于社会信用体系建设的总体部署和工作要求，紧紧围绕实现“一基地三区”功能定位、构建“津城”“滨城”双城发展格局等战略目标，按照“128”</w:t>
      </w:r>
      <w:r>
        <w:rPr>
          <w:rFonts w:eastAsia="仿宋_GB2312"/>
          <w:kern w:val="0"/>
          <w:sz w:val="32"/>
          <w:szCs w:val="32"/>
          <w:vertAlign w:val="superscript"/>
        </w:rPr>
        <w:footnoteReference w:id="0"/>
      </w:r>
      <w:r>
        <w:rPr>
          <w:rFonts w:eastAsia="仿宋_GB2312"/>
          <w:kern w:val="0"/>
          <w:sz w:val="32"/>
          <w:szCs w:val="32"/>
        </w:rPr>
        <w:t>发展思路，构建诚信建设长效机制，持续推进社会信用体系高质量发展，提高全社会诚信意识和信用水平，为全面建设社会主义现代化大都市营造良好的信用环境。</w:t>
      </w:r>
    </w:p>
    <w:p>
      <w:pPr>
        <w:keepNext/>
        <w:keepLines/>
        <w:spacing w:line="560" w:lineRule="exact"/>
        <w:ind w:firstLine="640" w:firstLineChars="200"/>
        <w:outlineLvl w:val="1"/>
        <w:rPr>
          <w:rFonts w:eastAsia="楷体_GB2312"/>
          <w:bCs/>
          <w:kern w:val="0"/>
          <w:sz w:val="32"/>
          <w:szCs w:val="32"/>
        </w:rPr>
      </w:pPr>
      <w:r>
        <w:rPr>
          <w:rFonts w:eastAsia="楷体_GB2312"/>
          <w:bCs/>
          <w:kern w:val="0"/>
          <w:sz w:val="32"/>
          <w:szCs w:val="32"/>
        </w:rPr>
        <w:t>（二）基本原则</w:t>
      </w:r>
    </w:p>
    <w:p>
      <w:pPr>
        <w:spacing w:line="560" w:lineRule="exact"/>
        <w:ind w:firstLine="640" w:firstLineChars="200"/>
        <w:rPr>
          <w:rFonts w:eastAsia="仿宋_GB2312"/>
          <w:kern w:val="0"/>
          <w:sz w:val="32"/>
          <w:szCs w:val="32"/>
        </w:rPr>
      </w:pPr>
      <w:r>
        <w:rPr>
          <w:rFonts w:eastAsia="仿宋_GB2312"/>
          <w:kern w:val="0"/>
          <w:sz w:val="32"/>
          <w:szCs w:val="32"/>
        </w:rPr>
        <w:t>依法建设，规范发展。坚持用法治思维和法治方式推动信用</w:t>
      </w:r>
      <w:bookmarkEnd w:id="14"/>
      <w:bookmarkEnd w:id="15"/>
      <w:r>
        <w:rPr>
          <w:rFonts w:eastAsia="仿宋_GB2312"/>
          <w:kern w:val="0"/>
          <w:sz w:val="32"/>
          <w:szCs w:val="32"/>
        </w:rPr>
        <w:t>工作开展，进一步健全信用法规体系和信用标准体系，依法依规开展信用信息归集使用、信用服务和信用产品应用等相关工作，不断提升信用体系建设的制度化、标准化和规范化水平。</w:t>
      </w:r>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统筹规划，有序推进。按照国家部署，结合天津实际，强化顶层设计，加强统筹协调，健全工作机制，构建上下互通、左右联动的工作格局，形成跨部门、跨领域、跨区域的合力推进态势。围绕发展需要，选择重点领域和典型地区积极开展先行先试，抓住关键环节，形成工作示范，有序推进社会信用体系建设。</w:t>
      </w:r>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政府推动，社会共建。充分发挥政府部门组织、推动和示范作用，以政务诚信为引领，带动商务、社会、司法等领域诚信建设水平全面提高，注重发挥市场机制作用，鼓励和调动社会各方力量广泛参与、共同建设、形成合力。</w:t>
      </w:r>
    </w:p>
    <w:p>
      <w:pPr>
        <w:widowControl/>
        <w:overflowPunct w:val="0"/>
        <w:spacing w:line="560" w:lineRule="exact"/>
        <w:ind w:firstLine="640" w:firstLineChars="200"/>
        <w:rPr>
          <w:rFonts w:eastAsia="仿宋_GB2312"/>
          <w:kern w:val="0"/>
          <w:sz w:val="32"/>
          <w:szCs w:val="32"/>
        </w:rPr>
      </w:pPr>
      <w:r>
        <w:rPr>
          <w:rFonts w:eastAsia="仿宋_GB2312"/>
          <w:kern w:val="0"/>
          <w:sz w:val="32"/>
          <w:szCs w:val="32"/>
        </w:rPr>
        <w:t>强化应用，注重实效。全面构建以信用为基础的新型监管机制，完善信用便民惠企体系，加强信用服务创新和产品供给，推动政府部门、社会组织在政府管理和各类经济社会活动中广泛使用信用信息和信用产品，推动形成规范有序、公平诚信的市场秩序和社会环境。</w:t>
      </w:r>
    </w:p>
    <w:p>
      <w:pPr>
        <w:widowControl/>
        <w:overflowPunct w:val="0"/>
        <w:spacing w:line="560" w:lineRule="exact"/>
        <w:ind w:firstLine="480"/>
        <w:rPr>
          <w:rFonts w:eastAsia="仿宋_GB2312"/>
          <w:kern w:val="0"/>
          <w:sz w:val="32"/>
          <w:szCs w:val="32"/>
        </w:rPr>
      </w:pPr>
      <w:r>
        <w:rPr>
          <w:rFonts w:eastAsia="仿宋_GB2312"/>
          <w:kern w:val="0"/>
          <w:sz w:val="32"/>
          <w:szCs w:val="32"/>
        </w:rPr>
        <w:t>区域联动，开放合作。完善京津冀等区域信用体系合作机制，拓展合作领域，丰富合作内容，在信用信息共享、信用标准互认、守信激励和失信惩戒、信用应用创新等方面加强合作，形成共建、共享、共赢的新发展格局。</w:t>
      </w:r>
    </w:p>
    <w:p>
      <w:pPr>
        <w:keepNext/>
        <w:keepLines/>
        <w:spacing w:line="560" w:lineRule="exact"/>
        <w:ind w:firstLine="640" w:firstLineChars="200"/>
        <w:outlineLvl w:val="1"/>
        <w:rPr>
          <w:rFonts w:eastAsia="楷体_GB2312"/>
          <w:bCs/>
          <w:kern w:val="0"/>
          <w:sz w:val="32"/>
          <w:szCs w:val="32"/>
        </w:rPr>
      </w:pPr>
      <w:bookmarkStart w:id="16" w:name="_Toc64899211"/>
      <w:bookmarkStart w:id="17" w:name="_Toc56692422"/>
      <w:r>
        <w:rPr>
          <w:rFonts w:eastAsia="楷体_GB2312"/>
          <w:bCs/>
          <w:kern w:val="0"/>
          <w:sz w:val="32"/>
          <w:szCs w:val="32"/>
        </w:rPr>
        <w:t>（三）发展目标</w:t>
      </w:r>
      <w:bookmarkEnd w:id="16"/>
      <w:bookmarkEnd w:id="17"/>
    </w:p>
    <w:p>
      <w:pPr>
        <w:spacing w:line="560" w:lineRule="exact"/>
        <w:ind w:firstLine="640" w:firstLineChars="200"/>
        <w:rPr>
          <w:rFonts w:eastAsia="仿宋_GB2312"/>
          <w:kern w:val="0"/>
          <w:sz w:val="32"/>
          <w:szCs w:val="32"/>
        </w:rPr>
      </w:pPr>
      <w:r>
        <w:rPr>
          <w:rFonts w:eastAsia="仿宋_GB2312"/>
          <w:kern w:val="0"/>
          <w:sz w:val="32"/>
          <w:szCs w:val="32"/>
        </w:rPr>
        <w:t>到2022年，社会信用法规和标准体系不断健全，以信用为基础的新型监管机制基本建立，政务诚信、商务诚信、社会诚信和司法公信建设进一步深化，信用服务市场体系较为完善，社会信用体系建设水平走在全国前列。</w:t>
      </w:r>
    </w:p>
    <w:p>
      <w:pPr>
        <w:tabs>
          <w:tab w:val="left" w:pos="1418"/>
        </w:tabs>
        <w:spacing w:line="560" w:lineRule="exact"/>
        <w:ind w:right="26" w:firstLine="640" w:firstLineChars="200"/>
        <w:rPr>
          <w:rFonts w:eastAsia="仿宋_GB2312"/>
          <w:kern w:val="0"/>
          <w:sz w:val="32"/>
          <w:szCs w:val="32"/>
        </w:rPr>
      </w:pPr>
      <w:r>
        <w:rPr>
          <w:rFonts w:eastAsia="仿宋_GB2312"/>
          <w:kern w:val="0"/>
          <w:sz w:val="32"/>
          <w:szCs w:val="32"/>
        </w:rPr>
        <w:t>到2025年，社会信用法规和标准体系较为完备，以信用为基础的新型监管机制全面建立，政务诚信、商务诚信、社会诚信和司法公信建设取得重大突破，信用服务市场繁荣发展，诚实、守信的文化理念深入人心，社会信用体系建设水平持续提升并保持全国前列，“诚信天津”品牌叫响全国。</w:t>
      </w:r>
    </w:p>
    <w:p>
      <w:pPr>
        <w:widowControl/>
        <w:spacing w:line="560" w:lineRule="exact"/>
        <w:jc w:val="center"/>
        <w:rPr>
          <w:rFonts w:eastAsia="黑体"/>
          <w:sz w:val="32"/>
          <w:szCs w:val="32"/>
        </w:rPr>
      </w:pPr>
      <w:r>
        <w:rPr>
          <w:rFonts w:hAnsi="黑体" w:eastAsia="黑体"/>
          <w:sz w:val="32"/>
          <w:szCs w:val="32"/>
        </w:rPr>
        <w:t>表</w:t>
      </w:r>
      <w:r>
        <w:rPr>
          <w:rFonts w:eastAsia="黑体"/>
          <w:sz w:val="32"/>
          <w:szCs w:val="32"/>
        </w:rPr>
        <w:t>1 “</w:t>
      </w:r>
      <w:r>
        <w:rPr>
          <w:rFonts w:hAnsi="黑体" w:eastAsia="黑体"/>
          <w:sz w:val="32"/>
          <w:szCs w:val="32"/>
        </w:rPr>
        <w:t>十四五</w:t>
      </w:r>
      <w:r>
        <w:rPr>
          <w:rFonts w:eastAsia="黑体"/>
          <w:sz w:val="32"/>
          <w:szCs w:val="32"/>
        </w:rPr>
        <w:t>”</w:t>
      </w:r>
      <w:r>
        <w:rPr>
          <w:rFonts w:hAnsi="黑体" w:eastAsia="黑体"/>
          <w:sz w:val="32"/>
          <w:szCs w:val="32"/>
        </w:rPr>
        <w:t>社会信用体系建设主要目标</w:t>
      </w:r>
    </w:p>
    <w:tbl>
      <w:tblPr>
        <w:tblStyle w:val="4"/>
        <w:tblW w:w="438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3"/>
        <w:gridCol w:w="4113"/>
        <w:gridCol w:w="1418"/>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56" w:type="pct"/>
            <w:noWrap w:val="0"/>
            <w:vAlign w:val="center"/>
          </w:tcPr>
          <w:p>
            <w:pPr>
              <w:widowControl/>
              <w:spacing w:line="560" w:lineRule="exact"/>
              <w:contextualSpacing/>
              <w:jc w:val="center"/>
              <w:rPr>
                <w:rFonts w:eastAsia="仿宋_GB2312"/>
                <w:b/>
                <w:kern w:val="0"/>
                <w:szCs w:val="21"/>
              </w:rPr>
            </w:pPr>
            <w:r>
              <w:rPr>
                <w:rFonts w:hAnsi="Calibri" w:eastAsia="仿宋_GB2312"/>
                <w:b/>
                <w:kern w:val="0"/>
                <w:szCs w:val="21"/>
              </w:rPr>
              <w:t>序号</w:t>
            </w:r>
          </w:p>
        </w:tc>
        <w:tc>
          <w:tcPr>
            <w:tcW w:w="2750" w:type="pct"/>
            <w:noWrap w:val="0"/>
            <w:vAlign w:val="center"/>
          </w:tcPr>
          <w:p>
            <w:pPr>
              <w:widowControl/>
              <w:spacing w:line="560" w:lineRule="exact"/>
              <w:contextualSpacing/>
              <w:jc w:val="center"/>
              <w:rPr>
                <w:rFonts w:eastAsia="仿宋_GB2312"/>
                <w:b/>
                <w:kern w:val="0"/>
                <w:szCs w:val="21"/>
              </w:rPr>
            </w:pPr>
            <w:r>
              <w:rPr>
                <w:rFonts w:hAnsi="Calibri" w:eastAsia="仿宋_GB2312"/>
                <w:b/>
                <w:kern w:val="0"/>
                <w:szCs w:val="21"/>
              </w:rPr>
              <w:t>指标名称</w:t>
            </w:r>
          </w:p>
        </w:tc>
        <w:tc>
          <w:tcPr>
            <w:tcW w:w="948" w:type="pct"/>
            <w:noWrap w:val="0"/>
            <w:vAlign w:val="center"/>
          </w:tcPr>
          <w:p>
            <w:pPr>
              <w:widowControl/>
              <w:spacing w:line="560" w:lineRule="exact"/>
              <w:contextualSpacing/>
              <w:jc w:val="center"/>
              <w:rPr>
                <w:rFonts w:eastAsia="仿宋_GB2312"/>
                <w:b/>
                <w:kern w:val="0"/>
                <w:szCs w:val="21"/>
              </w:rPr>
            </w:pPr>
            <w:r>
              <w:rPr>
                <w:rFonts w:eastAsia="仿宋_GB2312"/>
                <w:b/>
                <w:kern w:val="0"/>
                <w:szCs w:val="21"/>
              </w:rPr>
              <w:t>2020</w:t>
            </w:r>
            <w:r>
              <w:rPr>
                <w:rFonts w:hAnsi="Calibri" w:eastAsia="仿宋_GB2312"/>
                <w:b/>
                <w:kern w:val="0"/>
                <w:szCs w:val="21"/>
              </w:rPr>
              <w:t>年</w:t>
            </w:r>
          </w:p>
          <w:p>
            <w:pPr>
              <w:widowControl/>
              <w:spacing w:line="560" w:lineRule="exact"/>
              <w:contextualSpacing/>
              <w:jc w:val="center"/>
              <w:rPr>
                <w:rFonts w:eastAsia="仿宋_GB2312"/>
                <w:b/>
                <w:kern w:val="0"/>
                <w:szCs w:val="21"/>
              </w:rPr>
            </w:pPr>
            <w:r>
              <w:rPr>
                <w:rFonts w:hAnsi="Calibri" w:eastAsia="仿宋_GB2312"/>
                <w:b/>
                <w:kern w:val="0"/>
                <w:szCs w:val="21"/>
              </w:rPr>
              <w:t>基期值</w:t>
            </w:r>
          </w:p>
        </w:tc>
        <w:tc>
          <w:tcPr>
            <w:tcW w:w="946" w:type="pct"/>
            <w:noWrap w:val="0"/>
            <w:vAlign w:val="center"/>
          </w:tcPr>
          <w:p>
            <w:pPr>
              <w:widowControl/>
              <w:spacing w:line="560" w:lineRule="exact"/>
              <w:contextualSpacing/>
              <w:jc w:val="center"/>
              <w:rPr>
                <w:rFonts w:eastAsia="仿宋_GB2312"/>
                <w:b/>
                <w:kern w:val="0"/>
                <w:szCs w:val="21"/>
              </w:rPr>
            </w:pPr>
            <w:r>
              <w:rPr>
                <w:rFonts w:eastAsia="仿宋_GB2312"/>
                <w:b/>
                <w:kern w:val="0"/>
                <w:szCs w:val="21"/>
              </w:rPr>
              <w:t>2025</w:t>
            </w:r>
            <w:r>
              <w:rPr>
                <w:rFonts w:hAnsi="Calibri" w:eastAsia="仿宋_GB2312"/>
                <w:b/>
                <w:kern w:val="0"/>
                <w:szCs w:val="21"/>
              </w:rPr>
              <w:t>年</w:t>
            </w:r>
          </w:p>
          <w:p>
            <w:pPr>
              <w:widowControl/>
              <w:spacing w:line="560" w:lineRule="exact"/>
              <w:contextualSpacing/>
              <w:jc w:val="center"/>
              <w:rPr>
                <w:rFonts w:eastAsia="仿宋_GB2312"/>
                <w:b/>
                <w:kern w:val="0"/>
                <w:szCs w:val="21"/>
              </w:rPr>
            </w:pPr>
            <w:r>
              <w:rPr>
                <w:rFonts w:hAnsi="Calibri" w:eastAsia="仿宋_GB2312"/>
                <w:b/>
                <w:kern w:val="0"/>
                <w:szCs w:val="21"/>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56" w:type="pct"/>
            <w:noWrap w:val="0"/>
            <w:vAlign w:val="center"/>
          </w:tcPr>
          <w:p>
            <w:pPr>
              <w:widowControl/>
              <w:spacing w:line="560" w:lineRule="exact"/>
              <w:contextualSpacing/>
              <w:jc w:val="center"/>
              <w:rPr>
                <w:rFonts w:eastAsia="仿宋_GB2312"/>
                <w:kern w:val="0"/>
                <w:szCs w:val="21"/>
              </w:rPr>
            </w:pPr>
            <w:r>
              <w:rPr>
                <w:rFonts w:eastAsia="仿宋_GB2312"/>
                <w:kern w:val="0"/>
                <w:szCs w:val="21"/>
              </w:rPr>
              <w:t>1</w:t>
            </w:r>
          </w:p>
        </w:tc>
        <w:tc>
          <w:tcPr>
            <w:tcW w:w="2750" w:type="pct"/>
            <w:noWrap w:val="0"/>
            <w:vAlign w:val="center"/>
          </w:tcPr>
          <w:p>
            <w:pPr>
              <w:widowControl/>
              <w:spacing w:line="560" w:lineRule="exact"/>
              <w:contextualSpacing/>
              <w:jc w:val="left"/>
              <w:rPr>
                <w:rFonts w:eastAsia="仿宋_GB2312"/>
                <w:kern w:val="0"/>
                <w:szCs w:val="21"/>
              </w:rPr>
            </w:pPr>
            <w:r>
              <w:rPr>
                <w:rFonts w:hAnsi="Calibri" w:eastAsia="仿宋_GB2312"/>
                <w:kern w:val="0"/>
                <w:szCs w:val="21"/>
              </w:rPr>
              <w:t>信用平台信息归集量</w:t>
            </w:r>
          </w:p>
        </w:tc>
        <w:tc>
          <w:tcPr>
            <w:tcW w:w="948" w:type="pct"/>
            <w:noWrap w:val="0"/>
            <w:vAlign w:val="center"/>
          </w:tcPr>
          <w:p>
            <w:pPr>
              <w:widowControl/>
              <w:spacing w:line="560" w:lineRule="exact"/>
              <w:contextualSpacing/>
              <w:jc w:val="center"/>
              <w:rPr>
                <w:rFonts w:eastAsia="仿宋_GB2312"/>
                <w:kern w:val="0"/>
                <w:szCs w:val="21"/>
              </w:rPr>
            </w:pPr>
            <w:r>
              <w:rPr>
                <w:rFonts w:eastAsia="仿宋_GB2312"/>
                <w:kern w:val="0"/>
                <w:szCs w:val="21"/>
              </w:rPr>
              <w:t>7.9</w:t>
            </w:r>
            <w:r>
              <w:rPr>
                <w:rFonts w:hAnsi="Calibri" w:eastAsia="仿宋_GB2312"/>
                <w:kern w:val="0"/>
                <w:szCs w:val="21"/>
              </w:rPr>
              <w:t>亿条</w:t>
            </w:r>
          </w:p>
        </w:tc>
        <w:tc>
          <w:tcPr>
            <w:tcW w:w="946" w:type="pct"/>
            <w:noWrap w:val="0"/>
            <w:vAlign w:val="center"/>
          </w:tcPr>
          <w:p>
            <w:pPr>
              <w:widowControl/>
              <w:spacing w:line="560" w:lineRule="exact"/>
              <w:contextualSpacing/>
              <w:jc w:val="center"/>
              <w:rPr>
                <w:rFonts w:eastAsia="仿宋_GB2312"/>
                <w:kern w:val="0"/>
                <w:szCs w:val="21"/>
              </w:rPr>
            </w:pPr>
            <w:r>
              <w:rPr>
                <w:rFonts w:eastAsia="仿宋_GB2312"/>
                <w:kern w:val="0"/>
                <w:szCs w:val="21"/>
              </w:rPr>
              <w:t>&gt;10</w:t>
            </w:r>
            <w:r>
              <w:rPr>
                <w:rFonts w:hAnsi="Calibri" w:eastAsia="仿宋_GB2312"/>
                <w:kern w:val="0"/>
                <w:szCs w:val="21"/>
              </w:rPr>
              <w:t>亿条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56" w:type="pct"/>
            <w:noWrap w:val="0"/>
            <w:vAlign w:val="center"/>
          </w:tcPr>
          <w:p>
            <w:pPr>
              <w:widowControl/>
              <w:spacing w:line="560" w:lineRule="exact"/>
              <w:contextualSpacing/>
              <w:jc w:val="center"/>
              <w:rPr>
                <w:rFonts w:eastAsia="仿宋_GB2312"/>
                <w:kern w:val="0"/>
                <w:szCs w:val="21"/>
              </w:rPr>
            </w:pPr>
            <w:r>
              <w:rPr>
                <w:rFonts w:eastAsia="仿宋_GB2312"/>
                <w:kern w:val="0"/>
                <w:szCs w:val="21"/>
              </w:rPr>
              <w:t>2</w:t>
            </w:r>
          </w:p>
        </w:tc>
        <w:tc>
          <w:tcPr>
            <w:tcW w:w="2750" w:type="pct"/>
            <w:noWrap w:val="0"/>
            <w:vAlign w:val="center"/>
          </w:tcPr>
          <w:p>
            <w:pPr>
              <w:widowControl/>
              <w:spacing w:line="560" w:lineRule="exact"/>
              <w:contextualSpacing/>
              <w:jc w:val="left"/>
              <w:rPr>
                <w:rFonts w:eastAsia="仿宋_GB2312"/>
                <w:kern w:val="0"/>
                <w:szCs w:val="21"/>
              </w:rPr>
            </w:pPr>
            <w:r>
              <w:rPr>
                <w:rFonts w:hAnsi="Calibri" w:eastAsia="仿宋_GB2312"/>
                <w:kern w:val="0"/>
                <w:szCs w:val="21"/>
              </w:rPr>
              <w:t>信用中国（天津）网站年访问量</w:t>
            </w:r>
          </w:p>
        </w:tc>
        <w:tc>
          <w:tcPr>
            <w:tcW w:w="948" w:type="pct"/>
            <w:noWrap w:val="0"/>
            <w:vAlign w:val="center"/>
          </w:tcPr>
          <w:p>
            <w:pPr>
              <w:widowControl/>
              <w:spacing w:line="560" w:lineRule="exact"/>
              <w:contextualSpacing/>
              <w:jc w:val="center"/>
              <w:rPr>
                <w:rFonts w:eastAsia="仿宋_GB2312"/>
                <w:kern w:val="0"/>
                <w:szCs w:val="21"/>
              </w:rPr>
            </w:pPr>
            <w:r>
              <w:rPr>
                <w:rFonts w:eastAsia="仿宋_GB2312"/>
                <w:kern w:val="0"/>
                <w:szCs w:val="21"/>
              </w:rPr>
              <w:t>350</w:t>
            </w:r>
            <w:r>
              <w:rPr>
                <w:rFonts w:hAnsi="Calibri" w:eastAsia="仿宋_GB2312"/>
                <w:kern w:val="0"/>
                <w:szCs w:val="21"/>
              </w:rPr>
              <w:t>万次</w:t>
            </w:r>
          </w:p>
        </w:tc>
        <w:tc>
          <w:tcPr>
            <w:tcW w:w="946" w:type="pct"/>
            <w:noWrap w:val="0"/>
            <w:vAlign w:val="center"/>
          </w:tcPr>
          <w:p>
            <w:pPr>
              <w:widowControl/>
              <w:spacing w:line="560" w:lineRule="exact"/>
              <w:contextualSpacing/>
              <w:jc w:val="center"/>
              <w:rPr>
                <w:rFonts w:eastAsia="仿宋_GB2312"/>
                <w:kern w:val="0"/>
                <w:szCs w:val="21"/>
              </w:rPr>
            </w:pPr>
            <w:r>
              <w:rPr>
                <w:rFonts w:eastAsia="仿宋_GB2312"/>
                <w:kern w:val="0"/>
                <w:szCs w:val="21"/>
              </w:rPr>
              <w:t>&gt;1000</w:t>
            </w:r>
            <w:r>
              <w:rPr>
                <w:rFonts w:hAnsi="Calibri" w:eastAsia="仿宋_GB2312"/>
                <w:kern w:val="0"/>
                <w:szCs w:val="21"/>
              </w:rPr>
              <w:t>万次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56" w:type="pct"/>
            <w:noWrap w:val="0"/>
            <w:vAlign w:val="center"/>
          </w:tcPr>
          <w:p>
            <w:pPr>
              <w:widowControl/>
              <w:spacing w:line="560" w:lineRule="exact"/>
              <w:contextualSpacing/>
              <w:jc w:val="center"/>
              <w:rPr>
                <w:rFonts w:eastAsia="仿宋_GB2312"/>
                <w:kern w:val="0"/>
                <w:szCs w:val="21"/>
              </w:rPr>
            </w:pPr>
            <w:r>
              <w:rPr>
                <w:rFonts w:eastAsia="仿宋_GB2312"/>
                <w:kern w:val="0"/>
                <w:szCs w:val="21"/>
              </w:rPr>
              <w:t>3</w:t>
            </w:r>
          </w:p>
        </w:tc>
        <w:tc>
          <w:tcPr>
            <w:tcW w:w="2750" w:type="pct"/>
            <w:noWrap w:val="0"/>
            <w:vAlign w:val="center"/>
          </w:tcPr>
          <w:p>
            <w:pPr>
              <w:widowControl/>
              <w:spacing w:line="560" w:lineRule="exact"/>
              <w:contextualSpacing/>
              <w:jc w:val="left"/>
              <w:rPr>
                <w:rFonts w:eastAsia="仿宋_GB2312"/>
                <w:kern w:val="0"/>
                <w:szCs w:val="21"/>
              </w:rPr>
            </w:pPr>
            <w:r>
              <w:rPr>
                <w:rFonts w:hAnsi="Calibri" w:eastAsia="仿宋_GB2312"/>
                <w:kern w:val="0"/>
                <w:szCs w:val="21"/>
              </w:rPr>
              <w:t>行政许可、行政处罚信息</w:t>
            </w:r>
            <w:r>
              <w:rPr>
                <w:rFonts w:eastAsia="仿宋_GB2312"/>
                <w:kern w:val="0"/>
                <w:szCs w:val="21"/>
              </w:rPr>
              <w:t>7</w:t>
            </w:r>
            <w:r>
              <w:rPr>
                <w:rFonts w:hAnsi="Calibri" w:eastAsia="仿宋_GB2312"/>
                <w:kern w:val="0"/>
                <w:szCs w:val="21"/>
              </w:rPr>
              <w:t>个工作日内上网公开率</w:t>
            </w:r>
          </w:p>
        </w:tc>
        <w:tc>
          <w:tcPr>
            <w:tcW w:w="948" w:type="pct"/>
            <w:noWrap w:val="0"/>
            <w:vAlign w:val="center"/>
          </w:tcPr>
          <w:p>
            <w:pPr>
              <w:widowControl/>
              <w:spacing w:line="560" w:lineRule="exact"/>
              <w:contextualSpacing/>
              <w:jc w:val="center"/>
              <w:rPr>
                <w:rFonts w:eastAsia="仿宋_GB2312"/>
                <w:kern w:val="0"/>
                <w:szCs w:val="21"/>
              </w:rPr>
            </w:pPr>
            <w:r>
              <w:rPr>
                <w:rFonts w:eastAsia="仿宋_GB2312"/>
                <w:kern w:val="0"/>
                <w:szCs w:val="21"/>
              </w:rPr>
              <w:t>70%</w:t>
            </w:r>
          </w:p>
        </w:tc>
        <w:tc>
          <w:tcPr>
            <w:tcW w:w="946" w:type="pct"/>
            <w:noWrap w:val="0"/>
            <w:vAlign w:val="center"/>
          </w:tcPr>
          <w:p>
            <w:pPr>
              <w:widowControl/>
              <w:spacing w:line="560" w:lineRule="exact"/>
              <w:contextualSpacing/>
              <w:jc w:val="center"/>
              <w:rPr>
                <w:rFonts w:eastAsia="仿宋_GB2312"/>
                <w:kern w:val="0"/>
                <w:szCs w:val="21"/>
              </w:rPr>
            </w:pPr>
            <w:r>
              <w:rPr>
                <w:rFonts w:hAnsi="Calibri" w:eastAsia="仿宋_GB2312"/>
                <w:kern w:val="0"/>
                <w:szCs w:val="21"/>
              </w:rPr>
              <w:t>五年保持</w:t>
            </w:r>
          </w:p>
          <w:p>
            <w:pPr>
              <w:widowControl/>
              <w:spacing w:line="560" w:lineRule="exact"/>
              <w:contextualSpacing/>
              <w:jc w:val="center"/>
              <w:rPr>
                <w:rFonts w:eastAsia="仿宋_GB2312"/>
                <w:kern w:val="0"/>
                <w:szCs w:val="21"/>
              </w:rPr>
            </w:pPr>
            <w:r>
              <w:rPr>
                <w:rFonts w:eastAsia="仿宋_GB2312"/>
                <w:kern w:val="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56" w:type="pct"/>
            <w:noWrap w:val="0"/>
            <w:vAlign w:val="center"/>
          </w:tcPr>
          <w:p>
            <w:pPr>
              <w:widowControl/>
              <w:spacing w:line="560" w:lineRule="exact"/>
              <w:contextualSpacing/>
              <w:jc w:val="center"/>
              <w:rPr>
                <w:rFonts w:eastAsia="仿宋_GB2312"/>
                <w:kern w:val="0"/>
                <w:szCs w:val="21"/>
              </w:rPr>
            </w:pPr>
            <w:r>
              <w:rPr>
                <w:rFonts w:eastAsia="仿宋_GB2312"/>
                <w:kern w:val="0"/>
                <w:szCs w:val="21"/>
              </w:rPr>
              <w:t>4</w:t>
            </w:r>
          </w:p>
        </w:tc>
        <w:tc>
          <w:tcPr>
            <w:tcW w:w="2750" w:type="pct"/>
            <w:noWrap w:val="0"/>
            <w:vAlign w:val="center"/>
          </w:tcPr>
          <w:p>
            <w:pPr>
              <w:widowControl/>
              <w:spacing w:line="560" w:lineRule="exact"/>
              <w:contextualSpacing/>
              <w:jc w:val="left"/>
              <w:rPr>
                <w:rFonts w:eastAsia="仿宋_GB2312"/>
                <w:kern w:val="0"/>
                <w:szCs w:val="21"/>
              </w:rPr>
            </w:pPr>
            <w:r>
              <w:rPr>
                <w:rFonts w:hAnsi="Calibri" w:eastAsia="仿宋_GB2312"/>
                <w:kern w:val="0"/>
                <w:szCs w:val="21"/>
              </w:rPr>
              <w:t>开展信用分级分类监管的行业（领域）数量</w:t>
            </w:r>
          </w:p>
        </w:tc>
        <w:tc>
          <w:tcPr>
            <w:tcW w:w="948" w:type="pct"/>
            <w:noWrap w:val="0"/>
            <w:vAlign w:val="center"/>
          </w:tcPr>
          <w:p>
            <w:pPr>
              <w:widowControl/>
              <w:spacing w:line="560" w:lineRule="exact"/>
              <w:contextualSpacing/>
              <w:jc w:val="center"/>
              <w:rPr>
                <w:rFonts w:eastAsia="仿宋_GB2312"/>
                <w:kern w:val="0"/>
                <w:szCs w:val="21"/>
              </w:rPr>
            </w:pPr>
            <w:r>
              <w:rPr>
                <w:rFonts w:eastAsia="仿宋_GB2312"/>
                <w:kern w:val="0"/>
                <w:szCs w:val="21"/>
              </w:rPr>
              <w:t>17</w:t>
            </w:r>
            <w:r>
              <w:rPr>
                <w:rFonts w:hAnsi="Calibri" w:eastAsia="仿宋_GB2312"/>
                <w:kern w:val="0"/>
                <w:szCs w:val="21"/>
              </w:rPr>
              <w:t>个</w:t>
            </w:r>
          </w:p>
        </w:tc>
        <w:tc>
          <w:tcPr>
            <w:tcW w:w="946" w:type="pct"/>
            <w:noWrap w:val="0"/>
            <w:vAlign w:val="center"/>
          </w:tcPr>
          <w:p>
            <w:pPr>
              <w:widowControl/>
              <w:spacing w:line="560" w:lineRule="exact"/>
              <w:contextualSpacing/>
              <w:jc w:val="center"/>
              <w:rPr>
                <w:rFonts w:eastAsia="仿宋_GB2312"/>
                <w:kern w:val="0"/>
                <w:szCs w:val="21"/>
              </w:rPr>
            </w:pPr>
            <w:r>
              <w:rPr>
                <w:rFonts w:eastAsia="仿宋_GB2312"/>
                <w:kern w:val="0"/>
                <w:szCs w:val="21"/>
              </w:rPr>
              <w:t>38</w:t>
            </w:r>
            <w:r>
              <w:rPr>
                <w:rFonts w:hAnsi="Calibri" w:eastAsia="仿宋_GB2312"/>
                <w:kern w:val="0"/>
                <w:szCs w:val="21"/>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56" w:type="pct"/>
            <w:noWrap w:val="0"/>
            <w:vAlign w:val="center"/>
          </w:tcPr>
          <w:p>
            <w:pPr>
              <w:widowControl/>
              <w:spacing w:line="560" w:lineRule="exact"/>
              <w:contextualSpacing/>
              <w:jc w:val="center"/>
              <w:rPr>
                <w:rFonts w:eastAsia="仿宋_GB2312"/>
                <w:kern w:val="0"/>
                <w:szCs w:val="21"/>
              </w:rPr>
            </w:pPr>
            <w:r>
              <w:rPr>
                <w:rFonts w:eastAsia="仿宋_GB2312"/>
                <w:kern w:val="0"/>
                <w:szCs w:val="21"/>
              </w:rPr>
              <w:t>5</w:t>
            </w:r>
          </w:p>
        </w:tc>
        <w:tc>
          <w:tcPr>
            <w:tcW w:w="2750" w:type="pct"/>
            <w:noWrap w:val="0"/>
            <w:vAlign w:val="center"/>
          </w:tcPr>
          <w:p>
            <w:pPr>
              <w:widowControl/>
              <w:spacing w:line="560" w:lineRule="exact"/>
              <w:contextualSpacing/>
              <w:jc w:val="left"/>
              <w:rPr>
                <w:rFonts w:eastAsia="仿宋_GB2312"/>
                <w:kern w:val="0"/>
                <w:szCs w:val="21"/>
              </w:rPr>
            </w:pPr>
            <w:r>
              <w:rPr>
                <w:rFonts w:hAnsi="Calibri" w:eastAsia="仿宋_GB2312"/>
                <w:kern w:val="0"/>
                <w:szCs w:val="21"/>
              </w:rPr>
              <w:t>持证信用管理师数量</w:t>
            </w:r>
          </w:p>
        </w:tc>
        <w:tc>
          <w:tcPr>
            <w:tcW w:w="948" w:type="pct"/>
            <w:noWrap w:val="0"/>
            <w:vAlign w:val="center"/>
          </w:tcPr>
          <w:p>
            <w:pPr>
              <w:widowControl/>
              <w:spacing w:line="560" w:lineRule="exact"/>
              <w:contextualSpacing/>
              <w:jc w:val="center"/>
              <w:rPr>
                <w:rFonts w:eastAsia="仿宋_GB2312"/>
                <w:kern w:val="0"/>
                <w:szCs w:val="21"/>
              </w:rPr>
            </w:pPr>
            <w:r>
              <w:rPr>
                <w:rFonts w:eastAsia="仿宋_GB2312"/>
                <w:kern w:val="0"/>
                <w:szCs w:val="21"/>
              </w:rPr>
              <w:t>&lt;100</w:t>
            </w:r>
            <w:r>
              <w:rPr>
                <w:rFonts w:hAnsi="Calibri" w:eastAsia="仿宋_GB2312"/>
                <w:kern w:val="0"/>
                <w:szCs w:val="21"/>
              </w:rPr>
              <w:t>人</w:t>
            </w:r>
          </w:p>
        </w:tc>
        <w:tc>
          <w:tcPr>
            <w:tcW w:w="946" w:type="pct"/>
            <w:noWrap w:val="0"/>
            <w:vAlign w:val="center"/>
          </w:tcPr>
          <w:p>
            <w:pPr>
              <w:widowControl/>
              <w:spacing w:line="560" w:lineRule="exact"/>
              <w:contextualSpacing/>
              <w:jc w:val="center"/>
              <w:rPr>
                <w:rFonts w:eastAsia="仿宋_GB2312"/>
                <w:kern w:val="0"/>
                <w:szCs w:val="21"/>
              </w:rPr>
            </w:pPr>
            <w:r>
              <w:rPr>
                <w:rFonts w:eastAsia="仿宋_GB2312"/>
                <w:kern w:val="0"/>
                <w:szCs w:val="21"/>
              </w:rPr>
              <w:t>&gt;1000</w:t>
            </w:r>
            <w:r>
              <w:rPr>
                <w:rFonts w:hAnsi="Calibri" w:eastAsia="仿宋_GB2312"/>
                <w:kern w:val="0"/>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56" w:type="pct"/>
            <w:noWrap w:val="0"/>
            <w:vAlign w:val="center"/>
          </w:tcPr>
          <w:p>
            <w:pPr>
              <w:widowControl/>
              <w:spacing w:line="560" w:lineRule="exact"/>
              <w:contextualSpacing/>
              <w:jc w:val="center"/>
              <w:rPr>
                <w:rFonts w:eastAsia="仿宋_GB2312"/>
                <w:kern w:val="0"/>
                <w:szCs w:val="21"/>
              </w:rPr>
            </w:pPr>
            <w:r>
              <w:rPr>
                <w:rFonts w:eastAsia="仿宋_GB2312"/>
                <w:kern w:val="0"/>
                <w:szCs w:val="21"/>
              </w:rPr>
              <w:t>6</w:t>
            </w:r>
          </w:p>
        </w:tc>
        <w:tc>
          <w:tcPr>
            <w:tcW w:w="2750" w:type="pct"/>
            <w:noWrap w:val="0"/>
            <w:vAlign w:val="center"/>
          </w:tcPr>
          <w:p>
            <w:pPr>
              <w:widowControl/>
              <w:spacing w:line="560" w:lineRule="exact"/>
              <w:contextualSpacing/>
              <w:jc w:val="left"/>
              <w:rPr>
                <w:rFonts w:eastAsia="仿宋_GB2312"/>
                <w:kern w:val="0"/>
                <w:szCs w:val="21"/>
              </w:rPr>
            </w:pPr>
            <w:r>
              <w:rPr>
                <w:rFonts w:hAnsi="Calibri" w:eastAsia="仿宋_GB2312"/>
                <w:kern w:val="0"/>
                <w:szCs w:val="21"/>
              </w:rPr>
              <w:t>累计信用贷款规模</w:t>
            </w:r>
          </w:p>
        </w:tc>
        <w:tc>
          <w:tcPr>
            <w:tcW w:w="948" w:type="pct"/>
            <w:noWrap w:val="0"/>
            <w:vAlign w:val="center"/>
          </w:tcPr>
          <w:p>
            <w:pPr>
              <w:widowControl/>
              <w:spacing w:line="560" w:lineRule="exact"/>
              <w:contextualSpacing/>
              <w:jc w:val="center"/>
              <w:rPr>
                <w:rFonts w:eastAsia="仿宋_GB2312"/>
                <w:kern w:val="0"/>
                <w:szCs w:val="21"/>
              </w:rPr>
            </w:pPr>
            <w:r>
              <w:rPr>
                <w:rFonts w:eastAsia="仿宋_GB2312"/>
                <w:kern w:val="0"/>
                <w:szCs w:val="21"/>
              </w:rPr>
              <w:t>7400</w:t>
            </w:r>
            <w:r>
              <w:rPr>
                <w:rFonts w:hAnsi="Calibri" w:eastAsia="仿宋_GB2312"/>
                <w:kern w:val="0"/>
                <w:szCs w:val="21"/>
              </w:rPr>
              <w:t>亿元</w:t>
            </w:r>
          </w:p>
        </w:tc>
        <w:tc>
          <w:tcPr>
            <w:tcW w:w="946" w:type="pct"/>
            <w:noWrap w:val="0"/>
            <w:vAlign w:val="center"/>
          </w:tcPr>
          <w:p>
            <w:pPr>
              <w:widowControl/>
              <w:spacing w:line="560" w:lineRule="exact"/>
              <w:contextualSpacing/>
              <w:jc w:val="center"/>
              <w:rPr>
                <w:rFonts w:eastAsia="仿宋_GB2312"/>
                <w:kern w:val="0"/>
                <w:szCs w:val="21"/>
              </w:rPr>
            </w:pPr>
            <w:r>
              <w:rPr>
                <w:rFonts w:eastAsia="仿宋_GB2312"/>
                <w:kern w:val="0"/>
                <w:szCs w:val="21"/>
              </w:rPr>
              <w:t>&gt;10000</w:t>
            </w:r>
            <w:r>
              <w:rPr>
                <w:rFonts w:hAnsi="Calibri" w:eastAsia="仿宋_GB2312"/>
                <w:kern w:val="0"/>
                <w:szCs w:val="21"/>
              </w:rPr>
              <w:t>亿元</w:t>
            </w:r>
          </w:p>
        </w:tc>
      </w:tr>
    </w:tbl>
    <w:p>
      <w:pPr>
        <w:keepNext/>
        <w:keepLines/>
        <w:spacing w:line="580" w:lineRule="exact"/>
        <w:ind w:firstLine="640" w:firstLineChars="200"/>
        <w:outlineLvl w:val="0"/>
        <w:rPr>
          <w:rFonts w:eastAsia="黑体"/>
          <w:bCs/>
          <w:kern w:val="0"/>
          <w:sz w:val="32"/>
          <w:szCs w:val="32"/>
        </w:rPr>
      </w:pPr>
      <w:bookmarkStart w:id="18" w:name="_Toc64899212"/>
      <w:r>
        <w:rPr>
          <w:rFonts w:hAnsi="黑体" w:eastAsia="黑体"/>
          <w:bCs/>
          <w:kern w:val="0"/>
          <w:sz w:val="32"/>
          <w:szCs w:val="32"/>
        </w:rPr>
        <w:t>三、服务城市定位和营商环境优化，打造诚信高地</w:t>
      </w:r>
      <w:bookmarkEnd w:id="18"/>
    </w:p>
    <w:p>
      <w:pPr>
        <w:widowControl/>
        <w:overflowPunct w:val="0"/>
        <w:spacing w:line="580" w:lineRule="exact"/>
        <w:ind w:firstLine="640" w:firstLineChars="200"/>
        <w:outlineLvl w:val="1"/>
        <w:rPr>
          <w:rFonts w:eastAsia="楷体_GB2312"/>
          <w:kern w:val="0"/>
          <w:sz w:val="32"/>
          <w:szCs w:val="32"/>
        </w:rPr>
      </w:pPr>
      <w:bookmarkStart w:id="19" w:name="_Toc64899213"/>
      <w:r>
        <w:rPr>
          <w:rFonts w:eastAsia="楷体_GB2312"/>
          <w:kern w:val="0"/>
          <w:sz w:val="32"/>
          <w:szCs w:val="32"/>
        </w:rPr>
        <w:t>（一）打造与城市定位相适应的社会信用体系</w:t>
      </w:r>
      <w:bookmarkEnd w:id="19"/>
    </w:p>
    <w:p>
      <w:pPr>
        <w:spacing w:line="580" w:lineRule="exact"/>
        <w:ind w:firstLine="640" w:firstLineChars="200"/>
        <w:outlineLvl w:val="2"/>
        <w:rPr>
          <w:rFonts w:eastAsia="楷体"/>
          <w:sz w:val="32"/>
          <w:szCs w:val="32"/>
        </w:rPr>
      </w:pPr>
      <w:r>
        <w:rPr>
          <w:rFonts w:eastAsia="仿宋_GB2312"/>
          <w:kern w:val="0"/>
          <w:sz w:val="32"/>
          <w:szCs w:val="32"/>
        </w:rPr>
        <w:t>1.服务全国先进制造研发基地建设。运用信用管理机制，在产业结构调整、工业项目审批、闲置工业用地处置等领域，开展全过程信用管理试点，发挥信用信息的风险甄别、筛选和预警作用。以制造业高质量发展为导向，围绕制造业企业融资需求，扩大制造业信用贷款规模。鼓励工业企业加强信用管理，防范信用风险。支持信用服务机构在中小企业融资、担保等领域创新信用产品和服务，助力工业企业提质增效。深化科技创新领域信用建设，探索科技创新全流程信用管理，在科技项目、科技企业、科技人员、科技成果管理等领域加强信用管理。推进跨部门信用信息共享共用，形成信用共建联动机制。</w:t>
      </w:r>
    </w:p>
    <w:p>
      <w:pPr>
        <w:spacing w:line="580" w:lineRule="exact"/>
        <w:ind w:firstLine="640" w:firstLineChars="200"/>
        <w:outlineLvl w:val="2"/>
        <w:rPr>
          <w:rFonts w:eastAsia="楷体"/>
          <w:sz w:val="32"/>
          <w:szCs w:val="32"/>
        </w:rPr>
      </w:pPr>
      <w:r>
        <w:rPr>
          <w:rFonts w:eastAsia="仿宋_GB2312"/>
          <w:kern w:val="0"/>
          <w:sz w:val="32"/>
          <w:szCs w:val="32"/>
        </w:rPr>
        <w:t>2.支撑北方国际航运核心区建设。加快推进天津港诚信建设，以服务世界一流智慧港口、绿色港口为导向，打造“诚信港口”。建立航运领域诚信档案和信用评价体系，开展信用评价和风险预警，在行政审批、船舶检验、引航服务等领域，以信用评价等级为重点，开展守信激励和失信约束，在船舶金融、船舶交易、船舶拍卖、航运定价等服务中应用信用产品和服务。</w:t>
      </w:r>
    </w:p>
    <w:p>
      <w:pPr>
        <w:widowControl/>
        <w:overflowPunct w:val="0"/>
        <w:spacing w:line="580" w:lineRule="exact"/>
        <w:ind w:firstLine="640" w:firstLineChars="200"/>
        <w:outlineLvl w:val="2"/>
        <w:rPr>
          <w:rFonts w:eastAsia="楷体"/>
          <w:kern w:val="0"/>
          <w:sz w:val="32"/>
          <w:szCs w:val="32"/>
        </w:rPr>
      </w:pPr>
      <w:r>
        <w:rPr>
          <w:rFonts w:eastAsia="仿宋_GB2312"/>
          <w:kern w:val="0"/>
          <w:sz w:val="32"/>
          <w:szCs w:val="32"/>
        </w:rPr>
        <w:t>3.助力金融创新运营示范区建设。开展金融领域诚信建设，积极探索地方金融组织的分级分类监管办法，研究完善风险监测指标体系，探索监管评级试点，研究制定地方金融组织的信用评价管理办法和信用分级分类监管制度文件，加强金融机构信用信息的归集、共享。鼓励银行、保险等金融机构应用信用产品，发挥金融机构在守信激励和失信约束中的作用。推动上市公司信用信息的归集、共享，落实国家对上市公司违法失信相关责任主体惩戒制度，加大对违规披露信息、内幕交易、操纵市场、欺诈客户等违法失信行为的惩戒力度。</w:t>
      </w:r>
    </w:p>
    <w:p>
      <w:pPr>
        <w:widowControl/>
        <w:overflowPunct w:val="0"/>
        <w:spacing w:line="580" w:lineRule="exact"/>
        <w:ind w:firstLine="640" w:firstLineChars="200"/>
        <w:outlineLvl w:val="2"/>
        <w:rPr>
          <w:rFonts w:eastAsia="楷体"/>
          <w:kern w:val="0"/>
          <w:sz w:val="32"/>
          <w:szCs w:val="32"/>
        </w:rPr>
      </w:pPr>
      <w:r>
        <w:rPr>
          <w:rFonts w:eastAsia="仿宋_GB2312"/>
          <w:kern w:val="0"/>
          <w:sz w:val="32"/>
          <w:szCs w:val="32"/>
        </w:rPr>
        <w:t>4.促进改革开放先行区建设。积极推进信用制度创新和实践，探索天津自贸试验区信用体系建设。加强通关信用管理，提高通关便利化水平，推动海关、海事等监管部门，对高级认证企业实施通关免担保验放、低查验率、精简随附单证等措施。加强通关服务信用分类和动态监管，强化信用风险分析和综合研判，实现口岸管理相关部门信息互换、监管互认、执法互助。加强跨境电商平台企业信用管理，建立跨境电子商务信用评价体系，为离岸贸易、保税交易展示等新型贸易业态提供信用服务。</w:t>
      </w:r>
    </w:p>
    <w:p>
      <w:pPr>
        <w:keepNext/>
        <w:keepLines/>
        <w:spacing w:line="580" w:lineRule="exact"/>
        <w:ind w:firstLine="640" w:firstLineChars="200"/>
        <w:outlineLvl w:val="1"/>
        <w:rPr>
          <w:rFonts w:eastAsia="楷体_GB2312"/>
          <w:bCs/>
          <w:kern w:val="0"/>
          <w:sz w:val="32"/>
          <w:szCs w:val="32"/>
        </w:rPr>
      </w:pPr>
      <w:bookmarkStart w:id="20" w:name="_Toc64899214"/>
      <w:r>
        <w:rPr>
          <w:rFonts w:eastAsia="楷体_GB2312"/>
          <w:bCs/>
          <w:kern w:val="0"/>
          <w:sz w:val="32"/>
          <w:szCs w:val="32"/>
        </w:rPr>
        <w:t>（二）助力构建市场化法治化国际化的营商环境</w:t>
      </w:r>
      <w:bookmarkEnd w:id="20"/>
    </w:p>
    <w:p>
      <w:pPr>
        <w:widowControl/>
        <w:tabs>
          <w:tab w:val="left" w:pos="8364"/>
        </w:tabs>
        <w:overflowPunct w:val="0"/>
        <w:spacing w:line="580" w:lineRule="exact"/>
        <w:ind w:firstLine="640" w:firstLineChars="200"/>
        <w:outlineLvl w:val="2"/>
        <w:rPr>
          <w:rFonts w:eastAsia="楷体"/>
          <w:kern w:val="0"/>
          <w:sz w:val="32"/>
          <w:szCs w:val="32"/>
        </w:rPr>
      </w:pPr>
      <w:r>
        <w:rPr>
          <w:rFonts w:eastAsia="仿宋_GB2312"/>
          <w:kern w:val="0"/>
          <w:sz w:val="32"/>
          <w:szCs w:val="32"/>
        </w:rPr>
        <w:t>1.加快提升政务诚信水平。提高行政审批效能，精简行政许可内容，以信用推动“极简审批”制度改革。积极开展“信易批”服务，为守信主体提供绿色通道、简化手续、容缺受理、并联审批等便利服务。加强政府采购、招投标、招商引资、政府和社会资本合作等领域政府诚信建设，充分发挥政府在社会信用体系建设中的示范引领作用。建立健全政府失信责任追究制度，各级政府及其部门依法守信践诺，保持政务失信案例零增长。加强公务员诚信管理，建立公职人员诚信档案，依法依规将个人事项报告、廉政记录、违法违纪记录等信息纳入档案，作为干部考核、任用和奖励的重要依据。加强政府机关中从事政务诚信等社会信用体系建设工作人员的信用理论、实务运作能力的教育和培训。推动政务信息公开共享，及时披露重大突发事件和群众关注热点问题，积极回应社会关切。探索构建广泛有效的政务诚信监督体系，建立社会监督和第三方机构评估机制，通过政府购买服务、大数据抓取、群众投诉举报等渠道，对政务信用状况进行评价和监督。</w:t>
      </w:r>
    </w:p>
    <w:p>
      <w:pPr>
        <w:widowControl/>
        <w:overflowPunct w:val="0"/>
        <w:spacing w:line="580" w:lineRule="exact"/>
        <w:ind w:firstLine="640" w:firstLineChars="200"/>
        <w:outlineLvl w:val="2"/>
        <w:rPr>
          <w:rFonts w:eastAsia="楷体"/>
          <w:kern w:val="0"/>
          <w:sz w:val="32"/>
          <w:szCs w:val="32"/>
        </w:rPr>
      </w:pPr>
      <w:r>
        <w:rPr>
          <w:rFonts w:eastAsia="仿宋_GB2312"/>
          <w:kern w:val="0"/>
          <w:sz w:val="32"/>
          <w:szCs w:val="32"/>
        </w:rPr>
        <w:t>2.深入推进商务诚信建设。健全市场主体信用记录和信用档案，及时、准确、规范、完整记录市场主体信用信息。组织开展经营者准入前诚信教育，鼓励引导市场主体开展综合信用承诺或产品服务专项承诺。积极开展信用动态评价和失信责任追溯，充分发挥信用评价对市场主体的奖惩作用。重点加强生产流通、工程质量、养老托幼、中介服务、文化旅游、金融税务、物价等领域信用建设，加大对违法失信主体监管，依法依规实施市场和行业禁入措施。加快建设重要产品追溯体系，建立健全追溯标准和规范，完善重要产品追溯管理平台功能，加强信息共享，向公众提供追溯信息一站式查询服务。鼓励进出口企业在跨国贸易活动中使用信用报告、信用保险等信用服务，有效化解信用风险。</w:t>
      </w:r>
    </w:p>
    <w:p>
      <w:pPr>
        <w:widowControl/>
        <w:overflowPunct w:val="0"/>
        <w:spacing w:line="580" w:lineRule="exact"/>
        <w:ind w:firstLine="640" w:firstLineChars="200"/>
        <w:outlineLvl w:val="2"/>
        <w:rPr>
          <w:rFonts w:eastAsia="楷体"/>
          <w:kern w:val="0"/>
          <w:sz w:val="32"/>
          <w:szCs w:val="32"/>
        </w:rPr>
      </w:pPr>
      <w:r>
        <w:rPr>
          <w:rFonts w:eastAsia="仿宋_GB2312"/>
          <w:kern w:val="0"/>
          <w:sz w:val="32"/>
          <w:szCs w:val="32"/>
        </w:rPr>
        <w:t>3.全面推动社会诚信建设。加快个人诚信体系建设，建立自然人公共信用评价体系。加强重点人群信用档案建设，建立企业法定代表人及相关责任人、会计审计人员、统计从业人员、金融从业人员、律师、教师、医师、建筑监理师、注册消防工程师等重点人群信用档案。推动社会组织诚信建设，健全社会组织信息公开管理机制，提高社会组织的公信力。推进社会保障领域信用建设，强化公共信用信息数据归集，开展对人社领域内市场主体信用评价与分级分类监管。深化教育领域信用建设，加强学生诚信教育，加快推进教育信用监管，</w:t>
      </w:r>
      <w:r>
        <w:rPr>
          <w:rFonts w:eastAsia="仿宋_GB2312"/>
          <w:bCs/>
          <w:kern w:val="0"/>
          <w:sz w:val="32"/>
          <w:szCs w:val="32"/>
        </w:rPr>
        <w:t>探索对民办学校等市场主体开展行业监管。强化科研诚信建设，弘扬新时代科学家精神，严肃查处违背科研诚信要求的行为。</w:t>
      </w:r>
      <w:r>
        <w:rPr>
          <w:rFonts w:eastAsia="仿宋_GB2312"/>
          <w:kern w:val="0"/>
          <w:sz w:val="32"/>
          <w:szCs w:val="32"/>
        </w:rPr>
        <w:t>推进生态环境和节能领域信用建设，开展企业环境、节能领域信用评价，实施差异化信用分级监管。实施农村信用体系建设工程，开展信用村镇、信用农户创建活动，改善农村信用环境。</w:t>
      </w:r>
    </w:p>
    <w:p>
      <w:pPr>
        <w:spacing w:line="580" w:lineRule="exact"/>
        <w:ind w:firstLine="640" w:firstLineChars="200"/>
        <w:outlineLvl w:val="2"/>
        <w:rPr>
          <w:rFonts w:eastAsia="楷体"/>
          <w:sz w:val="32"/>
          <w:szCs w:val="32"/>
        </w:rPr>
      </w:pPr>
      <w:r>
        <w:rPr>
          <w:rFonts w:eastAsia="仿宋_GB2312"/>
          <w:sz w:val="32"/>
          <w:szCs w:val="32"/>
        </w:rPr>
        <w:t>4.大力强化司法信用保障。充分运用信息化手段，健全法院、检察院、公安等司法机关信用信息归集、共享机制。应用市级行政执法监督平台，加强与市信用信息共享平台等系统的数据对接，发挥行政执法监督平台作为全市执法数据中心的作用。建立被执行人、失信被执行人名单、刑事犯罪人员等信息交换机制，加大守信联合激励和失信联合惩戒工作力度。完善破产重整企业信用修复制度，支持破产重整企业重塑诚信主体，促进企业重返市场。完善律师行业诚信建设长效工作机制，出台律师行业信用评价管理办法和分类监管制度，加强对律师和律师事务所的诚信执业教育。</w:t>
      </w:r>
    </w:p>
    <w:p>
      <w:pPr>
        <w:keepNext/>
        <w:keepLines/>
        <w:spacing w:line="580" w:lineRule="exact"/>
        <w:ind w:firstLine="640" w:firstLineChars="200"/>
        <w:outlineLvl w:val="0"/>
        <w:rPr>
          <w:rFonts w:eastAsia="黑体"/>
          <w:bCs/>
          <w:kern w:val="0"/>
          <w:sz w:val="32"/>
          <w:szCs w:val="32"/>
        </w:rPr>
      </w:pPr>
      <w:bookmarkStart w:id="21" w:name="_Toc64899215"/>
      <w:r>
        <w:rPr>
          <w:rFonts w:hAnsi="黑体" w:eastAsia="黑体"/>
          <w:bCs/>
          <w:kern w:val="0"/>
          <w:sz w:val="32"/>
          <w:szCs w:val="32"/>
        </w:rPr>
        <w:t>四、抓住关键环节，全力打造诚信建设新风尚</w:t>
      </w:r>
      <w:bookmarkEnd w:id="21"/>
    </w:p>
    <w:p>
      <w:pPr>
        <w:widowControl/>
        <w:overflowPunct w:val="0"/>
        <w:spacing w:line="580" w:lineRule="exact"/>
        <w:ind w:firstLine="640" w:firstLineChars="200"/>
        <w:outlineLvl w:val="1"/>
        <w:rPr>
          <w:rFonts w:eastAsia="楷体_GB2312"/>
          <w:kern w:val="0"/>
          <w:sz w:val="32"/>
          <w:szCs w:val="32"/>
        </w:rPr>
      </w:pPr>
      <w:bookmarkStart w:id="22" w:name="_Toc57647464"/>
      <w:bookmarkStart w:id="23" w:name="_Toc64899216"/>
      <w:r>
        <w:rPr>
          <w:rFonts w:eastAsia="楷体_GB2312"/>
          <w:kern w:val="0"/>
          <w:sz w:val="32"/>
          <w:szCs w:val="32"/>
        </w:rPr>
        <w:t>（一）</w:t>
      </w:r>
      <w:bookmarkEnd w:id="22"/>
      <w:r>
        <w:rPr>
          <w:rFonts w:eastAsia="楷体_GB2312"/>
          <w:kern w:val="0"/>
          <w:sz w:val="32"/>
          <w:szCs w:val="32"/>
        </w:rPr>
        <w:t>推进制度建设，健全信用法规标准体系</w:t>
      </w:r>
      <w:bookmarkEnd w:id="23"/>
    </w:p>
    <w:p>
      <w:pPr>
        <w:widowControl/>
        <w:overflowPunct w:val="0"/>
        <w:spacing w:line="580" w:lineRule="exact"/>
        <w:ind w:firstLine="640" w:firstLineChars="200"/>
        <w:outlineLvl w:val="2"/>
        <w:rPr>
          <w:rFonts w:eastAsia="楷体"/>
          <w:kern w:val="0"/>
          <w:sz w:val="32"/>
          <w:szCs w:val="32"/>
        </w:rPr>
      </w:pPr>
      <w:r>
        <w:rPr>
          <w:rFonts w:eastAsia="仿宋_GB2312"/>
          <w:kern w:val="0"/>
          <w:sz w:val="32"/>
          <w:szCs w:val="32"/>
        </w:rPr>
        <w:t>1.完善信用法律法规体系。贯彻落实国家关于社会信用体系建设相关法律法规，健全和完善综合性信用立法配套制度和政策措施，形成较为完备的法规政策体系。深入实施《天津市社会信用条例》，对实施情况开展评估，科学规范信用信息归集、信用信息公开、信用产品应用和信用主体权益保护，夯实社会信用建设法治基础。修订《天津市市场主体信用信息管理办法》等法规和规范性文件，做到有法可依、有章可循。</w:t>
      </w:r>
    </w:p>
    <w:p>
      <w:pPr>
        <w:widowControl/>
        <w:overflowPunct w:val="0"/>
        <w:spacing w:line="580" w:lineRule="exact"/>
        <w:ind w:firstLine="640" w:firstLineChars="200"/>
        <w:outlineLvl w:val="2"/>
        <w:rPr>
          <w:rFonts w:eastAsia="楷体"/>
          <w:kern w:val="0"/>
          <w:sz w:val="32"/>
          <w:szCs w:val="32"/>
        </w:rPr>
      </w:pPr>
      <w:r>
        <w:rPr>
          <w:rFonts w:eastAsia="仿宋_GB2312"/>
          <w:kern w:val="0"/>
          <w:sz w:val="32"/>
          <w:szCs w:val="32"/>
        </w:rPr>
        <w:t>2.优化行业信用管理制度。鼓励各部门结合各领域业务特点，健全行业配套法规和章程。完善行业信用分级分类监管制度，明确各部门行业信用监管责任体系，出台行业分级分类指导目录，科学认定失信行为，规范划分信用等级。依法依规开展守信联合激励、失信联合惩戒。建立行业协会、商会开展信用建设和自律管理的工作机制，建立会员信用档案，开展信用承诺、信用培训、诚信宣传。</w:t>
      </w:r>
    </w:p>
    <w:p>
      <w:pPr>
        <w:widowControl/>
        <w:overflowPunct w:val="0"/>
        <w:spacing w:line="580" w:lineRule="exact"/>
        <w:ind w:firstLine="640" w:firstLineChars="200"/>
        <w:jc w:val="left"/>
        <w:outlineLvl w:val="2"/>
        <w:rPr>
          <w:rFonts w:eastAsia="楷体"/>
          <w:kern w:val="0"/>
          <w:sz w:val="32"/>
          <w:szCs w:val="32"/>
        </w:rPr>
      </w:pPr>
      <w:r>
        <w:rPr>
          <w:rFonts w:eastAsia="仿宋_GB2312"/>
          <w:kern w:val="0"/>
          <w:sz w:val="32"/>
          <w:szCs w:val="32"/>
        </w:rPr>
        <w:t>3.加快信用标准体系建设。依托天津市社会信用标准化技术委员会和天津市信用协会，组织信用服务机构参与制定并推行信用地方标准、信用团体标准和信用服务行业规范文件，促进信用服务市场规范有序发展。鼓励其他行业协会与天津市社会信用标准化技术委员会合作，制定本行业与信用有关的地方标准、团体标准。建立信用标准化管理长效机制，根据信用信息技术的新趋势和新特点，适时调整信用标准体系。运用信用中国（天津）网站、信用天津APP、微信公众号、电视等各类媒体平台，宣传和推广信用标准，扩大信用标准应用范围。</w:t>
      </w:r>
    </w:p>
    <w:p>
      <w:pPr>
        <w:keepNext/>
        <w:keepLines/>
        <w:spacing w:line="580" w:lineRule="exact"/>
        <w:ind w:firstLine="640" w:firstLineChars="200"/>
        <w:outlineLvl w:val="1"/>
        <w:rPr>
          <w:rFonts w:eastAsia="楷体_GB2312"/>
          <w:bCs/>
          <w:kern w:val="0"/>
          <w:sz w:val="32"/>
          <w:szCs w:val="32"/>
        </w:rPr>
      </w:pPr>
      <w:bookmarkStart w:id="24" w:name="_Toc47781877"/>
      <w:bookmarkStart w:id="25" w:name="_Toc57647465"/>
      <w:bookmarkStart w:id="26" w:name="_Toc64899217"/>
      <w:r>
        <w:rPr>
          <w:rFonts w:eastAsia="楷体_GB2312"/>
          <w:bCs/>
          <w:kern w:val="0"/>
          <w:sz w:val="32"/>
          <w:szCs w:val="32"/>
        </w:rPr>
        <w:t>（二）</w:t>
      </w:r>
      <w:bookmarkEnd w:id="24"/>
      <w:r>
        <w:rPr>
          <w:rFonts w:eastAsia="楷体_GB2312"/>
          <w:bCs/>
          <w:kern w:val="0"/>
          <w:sz w:val="32"/>
          <w:szCs w:val="32"/>
        </w:rPr>
        <w:t>夯实基础设施，提升信用信息载体</w:t>
      </w:r>
      <w:bookmarkEnd w:id="25"/>
      <w:r>
        <w:rPr>
          <w:rFonts w:eastAsia="楷体_GB2312"/>
          <w:bCs/>
          <w:kern w:val="0"/>
          <w:sz w:val="32"/>
          <w:szCs w:val="32"/>
        </w:rPr>
        <w:t>功能</w:t>
      </w:r>
      <w:bookmarkEnd w:id="26"/>
    </w:p>
    <w:p>
      <w:pPr>
        <w:widowControl/>
        <w:overflowPunct w:val="0"/>
        <w:adjustRightInd w:val="0"/>
        <w:snapToGrid w:val="0"/>
        <w:spacing w:line="580" w:lineRule="exact"/>
        <w:ind w:firstLine="640" w:firstLineChars="200"/>
        <w:outlineLvl w:val="2"/>
        <w:rPr>
          <w:rFonts w:eastAsia="楷体"/>
          <w:kern w:val="0"/>
          <w:sz w:val="32"/>
          <w:szCs w:val="32"/>
        </w:rPr>
      </w:pPr>
      <w:r>
        <w:rPr>
          <w:rFonts w:eastAsia="仿宋_GB2312"/>
          <w:kern w:val="0"/>
          <w:sz w:val="32"/>
          <w:szCs w:val="32"/>
        </w:rPr>
        <w:t>1.推动信用信息系统建设。健全“1+16+N”信用信息系统，升级改造市信用信息共享平台，建成数据资源管控平台、信用大数据分析平台，完善市信用信息共享平台服务功能。健全信用数据共享体制机制，畅通数据共享渠道，实现信用数据在跨部门、跨领域、跨区域业务系统间的按需共享。丰富数据共享方式，增加数据共享频次，切实保障共享数据的完整性、准确性和及时性。推动市信用信息共享平台纵向打通、横向互动，加强与全国信用信息共享平台的互联互通和共享交换。加快完善各区信用信息共享平台建设，加速信用信息资源整合，丰富信用场景应用，构建信用建设长效工作机制，鼓励信用服务机构参与信用信息系统建设。依托现有信息系统资源，提升完善市场主体信用信息公示系统、行政机关联合奖惩监管系统等应用系统功能。</w:t>
      </w:r>
    </w:p>
    <w:p>
      <w:pPr>
        <w:widowControl/>
        <w:overflowPunct w:val="0"/>
        <w:spacing w:line="580" w:lineRule="exact"/>
        <w:ind w:firstLine="640" w:firstLineChars="200"/>
        <w:outlineLvl w:val="2"/>
        <w:rPr>
          <w:rFonts w:hint="eastAsia" w:eastAsia="仿宋_GB2312"/>
          <w:kern w:val="0"/>
          <w:sz w:val="32"/>
          <w:szCs w:val="32"/>
        </w:rPr>
      </w:pPr>
      <w:r>
        <w:rPr>
          <w:rFonts w:eastAsia="仿宋_GB2312"/>
          <w:kern w:val="0"/>
          <w:sz w:val="32"/>
          <w:szCs w:val="32"/>
        </w:rPr>
        <w:t>2.优化信用中国（天津）网站、信用天津APP功能。进一步提升信用中国（天津）网站信用信息公示水平，力争各类主体信息应公示、尽公示。完善网站功能，优化栏目设计，提升社会应用水平。创新公共信用信息服务模式，优化APP、小程序等载体功能，实现信用业务、信用服务的移动端整合及轻量化集成，为各类“信易+”应用提供统一接口，支持各类信用信息应用场景的嵌入和对接，实现安全、可信条件下城市信用应用的汇聚，打造城市信用应用共建的生态圈。</w:t>
      </w:r>
    </w:p>
    <w:p>
      <w:pPr>
        <w:widowControl/>
        <w:overflowPunct w:val="0"/>
        <w:spacing w:line="580" w:lineRule="exact"/>
        <w:ind w:firstLine="640" w:firstLineChars="200"/>
        <w:outlineLvl w:val="2"/>
        <w:rPr>
          <w:rFonts w:eastAsia="仿宋_GB2312"/>
          <w:kern w:val="0"/>
          <w:sz w:val="32"/>
          <w:szCs w:val="32"/>
        </w:rPr>
      </w:pPr>
      <w:r>
        <w:rPr>
          <w:rFonts w:eastAsia="仿宋_GB2312"/>
          <w:kern w:val="0"/>
          <w:sz w:val="32"/>
          <w:szCs w:val="32"/>
        </w:rPr>
        <w:t>3.完善信用信息数据库建设。对信用基础数据库进行标准化改造与资源整合，建立健全统一的信用信息采集、归集和分类管理标准，推动各行业、各部门系统间信息有序归集、有效共享。以数据标准化和应用标准化为原则，加快推进行业间信用信息互联互通。</w:t>
      </w:r>
    </w:p>
    <w:p>
      <w:pPr>
        <w:widowControl/>
        <w:overflowPunct w:val="0"/>
        <w:spacing w:line="580" w:lineRule="exact"/>
        <w:ind w:firstLine="640" w:firstLineChars="200"/>
        <w:outlineLvl w:val="2"/>
        <w:rPr>
          <w:rFonts w:eastAsia="楷体"/>
          <w:kern w:val="0"/>
          <w:sz w:val="32"/>
          <w:szCs w:val="32"/>
        </w:rPr>
      </w:pPr>
      <w:r>
        <w:rPr>
          <w:rFonts w:eastAsia="仿宋_GB2312"/>
          <w:kern w:val="0"/>
          <w:sz w:val="32"/>
          <w:szCs w:val="32"/>
        </w:rPr>
        <w:t>4.拓展信用信息服务渠道。完善市信用信息共享平台应用服务线上线下相结合的布局，建立公共信用信息查询服务线上统一窗口，依托互联网、移动APP、微信公众号等渠道，优化升级各类终端窗口的服务功能，支持设立信用服务线下窗口，提升公共信用信息查询应用的及时性、准确性和便捷性。</w:t>
      </w:r>
    </w:p>
    <w:p>
      <w:pPr>
        <w:widowControl/>
        <w:overflowPunct w:val="0"/>
        <w:spacing w:line="580" w:lineRule="exact"/>
        <w:ind w:firstLine="640" w:firstLineChars="200"/>
        <w:outlineLvl w:val="2"/>
        <w:rPr>
          <w:rFonts w:eastAsia="楷体"/>
          <w:kern w:val="0"/>
          <w:sz w:val="32"/>
          <w:szCs w:val="32"/>
        </w:rPr>
      </w:pPr>
      <w:r>
        <w:rPr>
          <w:rFonts w:eastAsia="仿宋_GB2312"/>
          <w:kern w:val="0"/>
          <w:sz w:val="32"/>
          <w:szCs w:val="32"/>
        </w:rPr>
        <w:t>5.加快先进技术融合运用。将社会信用体系建设与数字化、网络化、智能化相结合，加强平台网站对大数据、云计算、人工智能、区块链等先进技术的应用，针对多元异构海量数据开展数据治理，提高数据的系统化、标准化、规范化。推动信用大数据应用创新，实现数据互联互通、共享共用，助力构建一体化协同治理体系。加强新技术在信用服务中的应用，优化信用服务场景，提升服务质量和服务效率，以精准画像方式，提供定制化、精准化服务，提升公众信用服务体验。</w:t>
      </w:r>
    </w:p>
    <w:p>
      <w:pPr>
        <w:keepNext/>
        <w:keepLines/>
        <w:tabs>
          <w:tab w:val="left" w:pos="4395"/>
        </w:tabs>
        <w:spacing w:line="580" w:lineRule="exact"/>
        <w:ind w:firstLine="640" w:firstLineChars="200"/>
        <w:outlineLvl w:val="1"/>
        <w:rPr>
          <w:rFonts w:eastAsia="楷体_GB2312"/>
          <w:bCs/>
          <w:kern w:val="0"/>
          <w:sz w:val="32"/>
          <w:szCs w:val="32"/>
        </w:rPr>
      </w:pPr>
      <w:bookmarkStart w:id="27" w:name="_Toc47781878"/>
      <w:bookmarkStart w:id="28" w:name="_Toc57647466"/>
      <w:bookmarkStart w:id="29" w:name="_Toc64899218"/>
      <w:r>
        <w:rPr>
          <w:rFonts w:eastAsia="楷体_GB2312"/>
          <w:bCs/>
          <w:kern w:val="0"/>
          <w:sz w:val="32"/>
          <w:szCs w:val="32"/>
        </w:rPr>
        <w:t>（三）</w:t>
      </w:r>
      <w:bookmarkEnd w:id="27"/>
      <w:r>
        <w:rPr>
          <w:rFonts w:eastAsia="楷体_GB2312"/>
          <w:bCs/>
          <w:kern w:val="0"/>
          <w:sz w:val="32"/>
          <w:szCs w:val="32"/>
        </w:rPr>
        <w:t>优化监管流程，构建以信用为基础的新型监管机制</w:t>
      </w:r>
      <w:bookmarkEnd w:id="28"/>
      <w:bookmarkEnd w:id="29"/>
    </w:p>
    <w:p>
      <w:pPr>
        <w:widowControl/>
        <w:overflowPunct w:val="0"/>
        <w:spacing w:line="580" w:lineRule="exact"/>
        <w:ind w:firstLine="640" w:firstLineChars="200"/>
        <w:outlineLvl w:val="2"/>
        <w:rPr>
          <w:rFonts w:eastAsia="楷体"/>
          <w:kern w:val="0"/>
          <w:sz w:val="32"/>
          <w:szCs w:val="32"/>
        </w:rPr>
      </w:pPr>
      <w:r>
        <w:rPr>
          <w:rFonts w:eastAsia="仿宋_GB2312"/>
          <w:kern w:val="0"/>
          <w:sz w:val="32"/>
          <w:szCs w:val="32"/>
        </w:rPr>
        <w:t>1.健全信用承诺制度。明确信用承诺标准规范和流程，规范各类信用承诺内容及应用，开展信用承诺闭环监管。根据不同场景推动审批替代型、容缺受理型、证明替代型、信用修复型、行业自律型和主动公示型等信用承诺应用，拓展政务服务信用承诺范围。推动各级行政机关对可采用承诺审批的各类事项进行梳理，编制事项目录和事项承诺书样本，并在各级行政服务中心公布实施。在各级信用门户网站和部门门户网站开设信用承诺专栏，鼓励市场主体在线承诺并公示，将书面承诺履约情况记入信用记录，作为事中、事后监管的重要依据。</w:t>
      </w:r>
    </w:p>
    <w:p>
      <w:pPr>
        <w:widowControl/>
        <w:overflowPunct w:val="0"/>
        <w:spacing w:line="580" w:lineRule="exact"/>
        <w:ind w:firstLine="640" w:firstLineChars="200"/>
        <w:outlineLvl w:val="2"/>
        <w:rPr>
          <w:rFonts w:eastAsia="楷体"/>
          <w:kern w:val="0"/>
          <w:sz w:val="32"/>
          <w:szCs w:val="32"/>
        </w:rPr>
      </w:pPr>
      <w:r>
        <w:rPr>
          <w:rFonts w:eastAsia="仿宋_GB2312"/>
          <w:kern w:val="0"/>
          <w:sz w:val="32"/>
          <w:szCs w:val="32"/>
        </w:rPr>
        <w:t>2.强化信用信息归集、共享和应用。建立信用信息采集和评估通报机制，完善公共信用信息归集渠道，定期更新完善公共信用信息目录。对政府部门及具有管理公共事务职能的企事业单位，在依法履行职责、提供服务过程中产生或获取的自然人、法人和非法人组织的信用信息“应归尽归”，建立信用信息档案，及时、准确、全面记录信用主体行为，实现对信用行为数据的全方位整合。推进信用信息共享，建立公共信用信息和金融信息共享机制，促进公共信用信息和市场信用信息融合，丰富信用服务产品，满足社会多层次、多样化和专业化的信用服务需求。</w:t>
      </w:r>
    </w:p>
    <w:p>
      <w:pPr>
        <w:widowControl/>
        <w:overflowPunct w:val="0"/>
        <w:spacing w:line="580" w:lineRule="exact"/>
        <w:ind w:firstLine="640" w:firstLineChars="200"/>
        <w:outlineLvl w:val="2"/>
        <w:rPr>
          <w:rFonts w:eastAsia="楷体"/>
          <w:kern w:val="0"/>
          <w:sz w:val="32"/>
          <w:szCs w:val="32"/>
        </w:rPr>
      </w:pPr>
      <w:r>
        <w:rPr>
          <w:rFonts w:eastAsia="仿宋_GB2312"/>
          <w:kern w:val="0"/>
          <w:sz w:val="32"/>
          <w:szCs w:val="32"/>
        </w:rPr>
        <w:t>3.建立市场主体信用信息自愿注册机制。依托信用中国（天津）网站和各区信用门户网站，建立自主申报功能。鼓励市场主体自愿注册资质证照、市场经营、合同履约、社会公益等信用信息，并对信息真实性公开作出信用承诺，授权网站对相关信息进行整合、共享与应用。经验证的自主申报信息可作为开展信用评价和生成信用报告的重要依据。</w:t>
      </w:r>
    </w:p>
    <w:p>
      <w:pPr>
        <w:widowControl/>
        <w:overflowPunct w:val="0"/>
        <w:spacing w:line="580" w:lineRule="exact"/>
        <w:ind w:firstLine="640" w:firstLineChars="200"/>
        <w:outlineLvl w:val="2"/>
        <w:rPr>
          <w:rFonts w:eastAsia="楷体"/>
          <w:kern w:val="0"/>
          <w:sz w:val="32"/>
          <w:szCs w:val="32"/>
        </w:rPr>
      </w:pPr>
      <w:r>
        <w:rPr>
          <w:rFonts w:eastAsia="仿宋_GB2312"/>
          <w:kern w:val="0"/>
          <w:sz w:val="32"/>
          <w:szCs w:val="32"/>
        </w:rPr>
        <w:t>4.健全公共信用综合评价机制。制定实施各类主体公共信用综合评价办法，优化指标体系和评价模型，统一评价分级标准，对各类信用主体开展全覆盖、标准化、公益性的公共信用综合评价。定期将相关评价结果推送至政府部门、金融机构、行业协会商会，推动评价结果在市场机构和社会服务中的应用。</w:t>
      </w:r>
    </w:p>
    <w:p>
      <w:pPr>
        <w:spacing w:line="580" w:lineRule="exact"/>
        <w:ind w:firstLine="640" w:firstLineChars="200"/>
        <w:outlineLvl w:val="2"/>
        <w:rPr>
          <w:rFonts w:eastAsia="楷体"/>
          <w:sz w:val="32"/>
          <w:szCs w:val="32"/>
        </w:rPr>
      </w:pPr>
      <w:r>
        <w:rPr>
          <w:rFonts w:eastAsia="仿宋_GB2312"/>
          <w:sz w:val="32"/>
          <w:szCs w:val="32"/>
        </w:rPr>
        <w:t>5.大力推进行业信用分级分类监管。针对行业监管实际需求和薄弱环节，完善信用监管制度，建立信用等级与监管措施挂钩制度。建立健全行业信用监管评价体系，构建行业信用评价模型，逐步统一不同行业的信用等级划分，合理确定“双随机、一公开”的监管比例和频次，对信用状况好的市场主体，实施降低检查频次等监管措施，对信用状况差的市场主体，实施加大检查力度、提高检查频次等监管措施。加强监管联动，形成数据同步、标准一致、措施统一的信用监管协同治理新格局。</w:t>
      </w:r>
    </w:p>
    <w:p>
      <w:pPr>
        <w:spacing w:line="580" w:lineRule="exact"/>
        <w:ind w:firstLine="640" w:firstLineChars="200"/>
        <w:outlineLvl w:val="2"/>
        <w:rPr>
          <w:rFonts w:eastAsia="楷体"/>
          <w:sz w:val="32"/>
          <w:szCs w:val="32"/>
        </w:rPr>
      </w:pPr>
      <w:r>
        <w:rPr>
          <w:rFonts w:eastAsia="仿宋_GB2312"/>
          <w:sz w:val="32"/>
          <w:szCs w:val="32"/>
        </w:rPr>
        <w:t>6.完善信用奖惩机制。按照《天津市社会信用条例》，建立健全守信激励机制，加强对守信主体的奖励和激励。依据全国失信惩戒措施基础清单，制定适用于本市的失信惩戒措施补充清单，规范严重失信主体名单认定标准，准确界定严重失信主体名单认定范围，严格履行严重失信主体名单认定程序，依法实施失信惩戒，鼓励市场主体、金融机构、行业协会根据信用主体的信用状况对信用主体采取相对应的奖惩措施，形成行政性、市场性和行业性等奖惩措施多管齐下，社会广泛参与的信用奖惩大格局。</w:t>
      </w:r>
    </w:p>
    <w:p>
      <w:pPr>
        <w:spacing w:line="580" w:lineRule="exact"/>
        <w:ind w:firstLine="640" w:firstLineChars="200"/>
        <w:outlineLvl w:val="2"/>
        <w:rPr>
          <w:rFonts w:hint="eastAsia" w:eastAsia="仿宋_GB2312"/>
          <w:sz w:val="32"/>
          <w:szCs w:val="32"/>
        </w:rPr>
      </w:pPr>
      <w:r>
        <w:rPr>
          <w:rFonts w:eastAsia="仿宋_GB2312"/>
          <w:sz w:val="32"/>
          <w:szCs w:val="32"/>
        </w:rPr>
        <w:t>7.开展诚信缺失突出问题专项治理。针对</w:t>
      </w:r>
      <w:r>
        <w:rPr>
          <w:rFonts w:eastAsia="仿宋_GB2312"/>
          <w:kern w:val="0"/>
          <w:sz w:val="32"/>
          <w:szCs w:val="32"/>
        </w:rPr>
        <w:t>食品药品、工程质量、安全生产、养老托幼、城市运行安全等与人民群众生命财产安全直接相关</w:t>
      </w:r>
      <w:r>
        <w:rPr>
          <w:rFonts w:eastAsia="仿宋_GB2312"/>
          <w:sz w:val="32"/>
          <w:szCs w:val="32"/>
        </w:rPr>
        <w:t>的诚信热点问题和群众反映强烈的失信突出问题，注重部门协同、统筹推进，依法依规开展常态化专项治理行动，努力打造不敢失信、不能失信、不愿失信的社会环境。</w:t>
      </w:r>
    </w:p>
    <w:p>
      <w:pPr>
        <w:spacing w:line="580" w:lineRule="exact"/>
        <w:ind w:firstLine="640" w:firstLineChars="200"/>
        <w:outlineLvl w:val="2"/>
        <w:rPr>
          <w:rFonts w:eastAsia="楷体"/>
          <w:kern w:val="0"/>
          <w:sz w:val="32"/>
          <w:szCs w:val="32"/>
        </w:rPr>
      </w:pPr>
      <w:r>
        <w:rPr>
          <w:rFonts w:eastAsia="仿宋_GB2312"/>
          <w:kern w:val="0"/>
          <w:sz w:val="32"/>
          <w:szCs w:val="32"/>
        </w:rPr>
        <w:t>8.促进社会治理创新。优化社会治理信用管理水平，提升综合治理领域信用建设水平，开展“信用社区”创建活动，探索信用网格化管理新模式，引导社区居民自觉履行信用规则和诚信公约，建立社区信用记录，整合社区公共服务、社会保障等资源，向守信居民倾斜，推动社区居民共治、共建信用社区。</w:t>
      </w:r>
    </w:p>
    <w:p>
      <w:pPr>
        <w:keepNext/>
        <w:keepLines/>
        <w:spacing w:line="580" w:lineRule="exact"/>
        <w:ind w:firstLine="640" w:firstLineChars="200"/>
        <w:outlineLvl w:val="1"/>
        <w:rPr>
          <w:rFonts w:eastAsia="楷体_GB2312"/>
          <w:b/>
          <w:bCs/>
          <w:sz w:val="32"/>
          <w:szCs w:val="32"/>
        </w:rPr>
      </w:pPr>
      <w:bookmarkStart w:id="30" w:name="_Toc57647467"/>
      <w:bookmarkStart w:id="31" w:name="_Toc64899219"/>
      <w:r>
        <w:rPr>
          <w:rFonts w:eastAsia="楷体_GB2312"/>
          <w:bCs/>
          <w:sz w:val="32"/>
          <w:szCs w:val="32"/>
        </w:rPr>
        <w:t>（四）审慎信息运用，加强信用主体权益保护</w:t>
      </w:r>
      <w:bookmarkEnd w:id="30"/>
      <w:bookmarkEnd w:id="31"/>
    </w:p>
    <w:p>
      <w:pPr>
        <w:spacing w:line="580" w:lineRule="exact"/>
        <w:ind w:firstLine="640" w:firstLineChars="200"/>
        <w:outlineLvl w:val="2"/>
        <w:rPr>
          <w:rFonts w:eastAsia="楷体"/>
          <w:sz w:val="32"/>
          <w:szCs w:val="32"/>
        </w:rPr>
      </w:pPr>
      <w:r>
        <w:rPr>
          <w:rFonts w:eastAsia="仿宋_GB2312"/>
          <w:sz w:val="32"/>
          <w:szCs w:val="32"/>
        </w:rPr>
        <w:t>1.加强信用主体信用信息保护。健全信用信息主体权益保护机制，强化信用信息安全管理，加强个人隐私、商业秘密的保护，严格执行采集、查询和使用的权限和程序。充分发挥行政监管、社会监督和行业自律在信用信息主体权益保护中的作用，综合运用法律、经济和行政等手段，切实保护信用信息主体权益。</w:t>
      </w:r>
    </w:p>
    <w:p>
      <w:pPr>
        <w:widowControl/>
        <w:overflowPunct w:val="0"/>
        <w:spacing w:line="580" w:lineRule="exact"/>
        <w:ind w:firstLine="640" w:firstLineChars="200"/>
        <w:outlineLvl w:val="2"/>
        <w:rPr>
          <w:rFonts w:eastAsia="楷体"/>
          <w:kern w:val="0"/>
          <w:sz w:val="32"/>
          <w:szCs w:val="32"/>
        </w:rPr>
      </w:pPr>
      <w:r>
        <w:rPr>
          <w:rFonts w:eastAsia="仿宋_GB2312"/>
          <w:kern w:val="0"/>
          <w:sz w:val="32"/>
          <w:szCs w:val="32"/>
        </w:rPr>
        <w:t>2.建立健全信用异议申诉制度。建立信用信息异议处理机制，明确异议处理操作规范。信用信息主体有权对信用平台采集、保存、提供的信息提出异议，信息提供和采集单位按照相关规定核实并反馈结果，因信用信息错误、遗漏等行为给信用主体合法权益带来侵害的，有关部门和单位要积极采取措施消除不良影响。</w:t>
      </w:r>
    </w:p>
    <w:p>
      <w:pPr>
        <w:widowControl/>
        <w:overflowPunct w:val="0"/>
        <w:spacing w:line="580" w:lineRule="exact"/>
        <w:ind w:firstLine="640" w:firstLineChars="200"/>
        <w:outlineLvl w:val="2"/>
        <w:rPr>
          <w:rFonts w:hint="eastAsia" w:eastAsia="仿宋_GB2312"/>
          <w:kern w:val="0"/>
          <w:sz w:val="32"/>
          <w:szCs w:val="32"/>
        </w:rPr>
      </w:pPr>
      <w:r>
        <w:rPr>
          <w:rFonts w:eastAsia="仿宋_GB2312"/>
          <w:kern w:val="0"/>
          <w:sz w:val="32"/>
          <w:szCs w:val="32"/>
        </w:rPr>
        <w:t>3.完善信用修复机制。规范公共信用信息修复流程，畅通信用修复渠道，明确信用修复内涵和适用范围，明晰信用修复各环节主体责任及权限，规范信用修复条件和方式，开展对失信主体的公益性修复培训，构建信用中国（天津）与市场主体信用信息公示系统等信用网站同步修复机制，实现“协同联动、一网通办”的信用修复格局。</w:t>
      </w:r>
    </w:p>
    <w:p>
      <w:pPr>
        <w:widowControl/>
        <w:overflowPunct w:val="0"/>
        <w:spacing w:line="580" w:lineRule="exact"/>
        <w:ind w:firstLine="640" w:firstLineChars="200"/>
        <w:outlineLvl w:val="2"/>
        <w:rPr>
          <w:rFonts w:eastAsia="楷体"/>
          <w:kern w:val="0"/>
          <w:sz w:val="32"/>
          <w:szCs w:val="32"/>
        </w:rPr>
      </w:pPr>
      <w:r>
        <w:rPr>
          <w:rFonts w:eastAsia="楷体_GB2312"/>
          <w:bCs/>
          <w:kern w:val="0"/>
          <w:sz w:val="32"/>
          <w:szCs w:val="32"/>
        </w:rPr>
        <w:t>（五）培育信用机构，繁荣信用服务市场</w:t>
      </w:r>
    </w:p>
    <w:p>
      <w:pPr>
        <w:spacing w:line="580" w:lineRule="exact"/>
        <w:ind w:firstLine="640" w:firstLineChars="200"/>
        <w:outlineLvl w:val="2"/>
        <w:rPr>
          <w:rFonts w:eastAsia="楷体"/>
          <w:sz w:val="32"/>
          <w:szCs w:val="32"/>
        </w:rPr>
      </w:pPr>
      <w:r>
        <w:rPr>
          <w:rFonts w:eastAsia="仿宋_GB2312"/>
          <w:kern w:val="0"/>
          <w:sz w:val="32"/>
          <w:szCs w:val="32"/>
        </w:rPr>
        <w:t>1.做优做强信用服务产业。引导、培育企业征信、信用评级、信用咨询、信用管理、信用风险控制等传统和新型信用服务机构专业化、综合化、特色化发展，切实发挥信用服务机构在信用信息采集、加工、整合、传播和市场化应用方面的专业作用，形成信用服务机构多元发展大格局。积极稳妥推进个人征信机构准入，加大征信业开放力度。制定信用服务产业发展扶持政策，加大资金支持力度。加强信用服务机构“引进来”和“走出去”，支持国内外知名信用服务机构落户天津，打造信用服务产业聚集区或产业园，鼓励本地信用服务机构参与京津冀区域信用合作和国际竞争，拓展全国及国际市场，构建多层次、全方位的信用服务产业体系。</w:t>
      </w:r>
    </w:p>
    <w:p>
      <w:pPr>
        <w:spacing w:line="580" w:lineRule="exact"/>
        <w:ind w:firstLine="640" w:firstLineChars="200"/>
        <w:outlineLvl w:val="2"/>
        <w:rPr>
          <w:rFonts w:eastAsia="楷体"/>
          <w:sz w:val="32"/>
          <w:szCs w:val="32"/>
        </w:rPr>
      </w:pPr>
      <w:r>
        <w:rPr>
          <w:rFonts w:eastAsia="仿宋_GB2312"/>
          <w:kern w:val="0"/>
          <w:sz w:val="32"/>
          <w:szCs w:val="32"/>
        </w:rPr>
        <w:t>2.培育拓展信用服务市场需求。拓展信用服务产品应用场景，激发市场应用潜力，形成多层次、多样化、专业化的信用服务需求。加大信用服务产品在社会治理和市场交易中的应用，鼓励各级行政机关在公共资源交易、招标投标、资金使用、人事管理、项目管理等事项使用信用服务产品。鼓励行业协会、商会与信用服务机构进行合作，开展会员的信用评价和等级分类，支持信用服务机构为各类市场主体提供信用产品与服务。</w:t>
      </w:r>
    </w:p>
    <w:p>
      <w:pPr>
        <w:spacing w:line="580" w:lineRule="exact"/>
        <w:ind w:firstLine="640" w:firstLineChars="200"/>
        <w:outlineLvl w:val="2"/>
        <w:rPr>
          <w:rFonts w:eastAsia="楷体"/>
          <w:sz w:val="32"/>
          <w:szCs w:val="32"/>
        </w:rPr>
      </w:pPr>
      <w:r>
        <w:rPr>
          <w:rFonts w:eastAsia="仿宋_GB2312"/>
          <w:kern w:val="0"/>
          <w:sz w:val="32"/>
          <w:szCs w:val="32"/>
        </w:rPr>
        <w:t>3.创新优化信用服务产品。充分运用云计算、物联网、人工智能、区块链等新技术，引导信用服务机构加强信用服务产品创新力度，持续推动信用服务业务发展。支持信用服务机构依法采集加工社会信用信息，拓展应用范围和市场。引导信用服务机构创新信用产品与服务，丰富应用场景，实现产品与服务的广泛覆盖。</w:t>
      </w:r>
    </w:p>
    <w:p>
      <w:pPr>
        <w:spacing w:line="580" w:lineRule="exact"/>
        <w:ind w:firstLine="640" w:firstLineChars="200"/>
        <w:outlineLvl w:val="2"/>
        <w:rPr>
          <w:rFonts w:eastAsia="楷体"/>
          <w:sz w:val="32"/>
          <w:szCs w:val="32"/>
        </w:rPr>
      </w:pPr>
      <w:r>
        <w:rPr>
          <w:rFonts w:eastAsia="仿宋_GB2312"/>
          <w:kern w:val="0"/>
          <w:sz w:val="32"/>
          <w:szCs w:val="32"/>
        </w:rPr>
        <w:t>4.强化信用服务行业管理与自律。制定信用服务机构管理办法，对信用服务机构采集加工社会信用信息、提供信用产品与服务进行监督管理，探索建立信用产品质量评估机制，加强信用服务机构分类管理。健全信用服务行业自律机制，建立信用服务机构及从业人员信用档案，推动信用承诺、信用培训、诚信宣传等活动开展，编制信用服务行业统计报告。</w:t>
      </w:r>
    </w:p>
    <w:p>
      <w:pPr>
        <w:keepNext/>
        <w:keepLines/>
        <w:spacing w:line="580" w:lineRule="exact"/>
        <w:ind w:firstLine="640" w:firstLineChars="200"/>
        <w:outlineLvl w:val="1"/>
        <w:rPr>
          <w:rFonts w:eastAsia="楷体_GB2312"/>
          <w:bCs/>
          <w:kern w:val="0"/>
          <w:sz w:val="32"/>
          <w:szCs w:val="32"/>
        </w:rPr>
      </w:pPr>
      <w:bookmarkStart w:id="32" w:name="_Toc64899221"/>
      <w:r>
        <w:rPr>
          <w:rFonts w:eastAsia="楷体_GB2312"/>
          <w:bCs/>
          <w:kern w:val="0"/>
          <w:sz w:val="32"/>
          <w:szCs w:val="32"/>
        </w:rPr>
        <w:t>（六）增强信用感知，完善信用便民惠企体系</w:t>
      </w:r>
      <w:bookmarkEnd w:id="32"/>
    </w:p>
    <w:p>
      <w:pPr>
        <w:adjustRightInd w:val="0"/>
        <w:snapToGrid w:val="0"/>
        <w:spacing w:line="580" w:lineRule="exact"/>
        <w:ind w:firstLine="640" w:firstLineChars="200"/>
        <w:outlineLvl w:val="2"/>
        <w:rPr>
          <w:rFonts w:eastAsia="楷体"/>
          <w:sz w:val="32"/>
          <w:szCs w:val="32"/>
        </w:rPr>
      </w:pPr>
      <w:r>
        <w:rPr>
          <w:rFonts w:eastAsia="仿宋_GB2312"/>
          <w:sz w:val="32"/>
          <w:szCs w:val="32"/>
        </w:rPr>
        <w:t>1.拓展信用便民应用。引导信用服务机构搭建个人信用评测模型，实现评价动态调整，鼓励相关政府部门和企事业单位集聚信用便民资源，在社会保障、城市落户、购物旅游、交通教育、就业创业、医疗服务等方面扩大个人信用评价结果应用，研发“信易+”产品，创新守信激励场景，让守信产生价值。</w:t>
      </w:r>
    </w:p>
    <w:p>
      <w:pPr>
        <w:widowControl/>
        <w:overflowPunct w:val="0"/>
        <w:spacing w:line="580" w:lineRule="exact"/>
        <w:ind w:firstLine="640" w:firstLineChars="200"/>
        <w:outlineLvl w:val="2"/>
        <w:rPr>
          <w:rFonts w:eastAsia="楷体"/>
          <w:kern w:val="0"/>
          <w:sz w:val="32"/>
          <w:szCs w:val="32"/>
        </w:rPr>
      </w:pPr>
      <w:r>
        <w:rPr>
          <w:rFonts w:eastAsia="仿宋_GB2312"/>
          <w:kern w:val="0"/>
          <w:sz w:val="32"/>
          <w:szCs w:val="32"/>
        </w:rPr>
        <w:t>2.丰富信用惠企场景。推动各相关部门建立和完善企业信用记录，建立企业信用评价机制，依托信用评价结果，开发信用惠企场景，鼓励在政策扶持、授信额度、贷款期限、利率等方面对守信企业给予支持和优惠。深化“信易贷”服务功能，以信用支撑金融服务实体经济，注重发挥“信易贷”平台作用，扩大“信易贷”规模，大力推动金融机构为企业提供免抵押、免担保融资服务。</w:t>
      </w:r>
    </w:p>
    <w:p>
      <w:pPr>
        <w:spacing w:line="580" w:lineRule="exact"/>
        <w:ind w:firstLine="640" w:firstLineChars="200"/>
        <w:outlineLvl w:val="2"/>
        <w:rPr>
          <w:rFonts w:eastAsia="楷体"/>
          <w:sz w:val="32"/>
          <w:szCs w:val="32"/>
        </w:rPr>
      </w:pPr>
      <w:r>
        <w:rPr>
          <w:rFonts w:eastAsia="仿宋_GB2312"/>
          <w:sz w:val="32"/>
          <w:szCs w:val="32"/>
        </w:rPr>
        <w:t>3.聚焦重点民生领域信用建设。以养老托幼服务需求为导向，推动生活性服务业诚信化职业化发展，构建信用惠老及幼的融合应用体系，创新养老托幼服务机构监管方式，提升养老托幼服务质量。以养老院、日间照料中心、配餐中心、幼儿园、保育院为突破口，加强信用信息归集与共享。充分发挥移动端应用优势，在移动端集成养老托幼诚信地图、信用查询、服务质量等级标识等功能，让养老托幼信用服务触手可及。</w:t>
      </w:r>
    </w:p>
    <w:p>
      <w:pPr>
        <w:spacing w:line="580" w:lineRule="exact"/>
        <w:ind w:firstLine="640" w:firstLineChars="200"/>
        <w:outlineLvl w:val="2"/>
        <w:rPr>
          <w:rFonts w:eastAsia="楷体"/>
          <w:sz w:val="32"/>
          <w:szCs w:val="32"/>
        </w:rPr>
      </w:pPr>
      <w:r>
        <w:rPr>
          <w:rFonts w:eastAsia="仿宋_GB2312"/>
          <w:sz w:val="32"/>
          <w:szCs w:val="32"/>
        </w:rPr>
        <w:t>4.推动企业信用管理。鼓励政府部门和行业协会加大对企业诚信建设的支持力度，帮助企业在生产经营、市场流通、财务管理、合同履约、劳动用工等方面强化信用自律。加大信用示范企业宣传力度，探索为示范企业提供政务服务绿色通道等优惠。</w:t>
      </w:r>
    </w:p>
    <w:p>
      <w:pPr>
        <w:keepNext/>
        <w:keepLines/>
        <w:spacing w:line="580" w:lineRule="exact"/>
        <w:ind w:firstLine="640" w:firstLineChars="200"/>
        <w:outlineLvl w:val="1"/>
        <w:rPr>
          <w:rFonts w:eastAsia="楷体_GB2312"/>
          <w:bCs/>
          <w:kern w:val="0"/>
          <w:sz w:val="32"/>
          <w:szCs w:val="32"/>
        </w:rPr>
      </w:pPr>
      <w:bookmarkStart w:id="33" w:name="_Toc64899222"/>
      <w:r>
        <w:rPr>
          <w:rFonts w:eastAsia="楷体_GB2312"/>
          <w:bCs/>
          <w:kern w:val="0"/>
          <w:sz w:val="32"/>
          <w:szCs w:val="32"/>
        </w:rPr>
        <w:t>（七）打造信用亮点，推进信用试点示范建设</w:t>
      </w:r>
      <w:bookmarkEnd w:id="33"/>
    </w:p>
    <w:p>
      <w:pPr>
        <w:widowControl/>
        <w:overflowPunct w:val="0"/>
        <w:spacing w:line="580" w:lineRule="exact"/>
        <w:ind w:firstLine="640" w:firstLineChars="200"/>
        <w:outlineLvl w:val="2"/>
        <w:rPr>
          <w:rFonts w:eastAsia="楷体"/>
          <w:kern w:val="0"/>
          <w:sz w:val="32"/>
          <w:szCs w:val="32"/>
        </w:rPr>
      </w:pPr>
      <w:r>
        <w:rPr>
          <w:rFonts w:eastAsia="仿宋_GB2312"/>
          <w:kern w:val="0"/>
          <w:sz w:val="32"/>
          <w:szCs w:val="32"/>
        </w:rPr>
        <w:t>1.推动政府部门探索信用试点创新。鼓励各级政府部门结合自身工作实际，以社会和公众需求为导向，在交通运输、教育、科技、社会保障、市场监管、卫生健康、金融、知识产权等领域，围绕信用承诺、信用应用、守信激励、信用修复等方面开展信用建设先行先试，及时总结、提炼经验做法，并在更大范围内复制推广。</w:t>
      </w:r>
    </w:p>
    <w:p>
      <w:pPr>
        <w:widowControl/>
        <w:overflowPunct w:val="0"/>
        <w:spacing w:line="580" w:lineRule="exact"/>
        <w:ind w:firstLine="640" w:firstLineChars="200"/>
        <w:outlineLvl w:val="2"/>
        <w:rPr>
          <w:rFonts w:eastAsia="楷体"/>
          <w:kern w:val="0"/>
          <w:sz w:val="32"/>
          <w:szCs w:val="32"/>
        </w:rPr>
      </w:pPr>
      <w:r>
        <w:rPr>
          <w:rFonts w:eastAsia="仿宋_GB2312"/>
          <w:kern w:val="0"/>
          <w:sz w:val="32"/>
          <w:szCs w:val="32"/>
        </w:rPr>
        <w:t>2.实施全国社会信用体系建设示范城市创建工程。滨海新区、和平区全面做好社会信用体系建设示范城市创建工作，持续提高城区信用治理能力现代化水平。滨海新区加快构建“滨城”社会信用体系，构建诚信建设长效机制，倾心打造“信用滨海”。和平区积极开展“信易游”“信易管”等信用惠民创新应用，结合全国文明城区、国家卫生城区等创建工作，构建诚信建设长效机制。</w:t>
      </w:r>
    </w:p>
    <w:p>
      <w:pPr>
        <w:widowControl/>
        <w:overflowPunct w:val="0"/>
        <w:spacing w:line="580" w:lineRule="exact"/>
        <w:ind w:firstLine="640" w:firstLineChars="200"/>
        <w:outlineLvl w:val="2"/>
        <w:rPr>
          <w:rFonts w:eastAsia="楷体"/>
          <w:kern w:val="0"/>
          <w:sz w:val="32"/>
          <w:szCs w:val="32"/>
        </w:rPr>
      </w:pPr>
      <w:r>
        <w:rPr>
          <w:rFonts w:eastAsia="仿宋_GB2312"/>
          <w:kern w:val="0"/>
          <w:sz w:val="32"/>
          <w:szCs w:val="32"/>
        </w:rPr>
        <w:t>3.鼓励各区开展特色信用试点工作。支持各区结合区域特色、产业布局，按照国家关于创建社会信用体系建设示范城市的标准开展社会信用体系建设工作，在食品安全、基层治理、三农建设等方面深入开展实践，推广中小企业信用体系试验区建设，鼓励各区积极创建信用示范街区、信用示范楼宇、信用示范景区。积极探索园区信用建设，实现园区内企业信用信息共享共用，打造园区内企业信用名片。探索建立“商圈+信用”管理模式，引导商圈内市场主体主动开展诚信经营承诺，提升商圈发展水平。</w:t>
      </w:r>
    </w:p>
    <w:p>
      <w:pPr>
        <w:keepNext/>
        <w:keepLines/>
        <w:spacing w:line="580" w:lineRule="exact"/>
        <w:ind w:firstLine="640" w:firstLineChars="200"/>
        <w:outlineLvl w:val="1"/>
        <w:rPr>
          <w:rFonts w:eastAsia="楷体_GB2312"/>
          <w:bCs/>
          <w:kern w:val="0"/>
          <w:sz w:val="32"/>
          <w:szCs w:val="32"/>
        </w:rPr>
      </w:pPr>
      <w:bookmarkStart w:id="34" w:name="_Toc64899223"/>
      <w:r>
        <w:rPr>
          <w:rFonts w:eastAsia="楷体_GB2312"/>
          <w:bCs/>
          <w:kern w:val="0"/>
          <w:sz w:val="32"/>
          <w:szCs w:val="32"/>
        </w:rPr>
        <w:t>（八）加强区域合作，推动京津冀信用体系协同发展</w:t>
      </w:r>
      <w:bookmarkEnd w:id="34"/>
    </w:p>
    <w:p>
      <w:pPr>
        <w:spacing w:line="580" w:lineRule="exact"/>
        <w:ind w:firstLine="640" w:firstLineChars="200"/>
        <w:outlineLvl w:val="2"/>
        <w:rPr>
          <w:rFonts w:eastAsia="楷体"/>
          <w:sz w:val="32"/>
          <w:szCs w:val="32"/>
        </w:rPr>
      </w:pPr>
      <w:r>
        <w:rPr>
          <w:rFonts w:eastAsia="仿宋_GB2312"/>
          <w:sz w:val="32"/>
          <w:szCs w:val="32"/>
        </w:rPr>
        <w:t>1.健全京津冀信用合作机制。完善信息共享机制，依托三地公共信用信息服务平台，建立与全国公共信用信息共享平台的统筹对接和京津冀三地数据合作整理机制。优化信息协同发布机制，为社会提供“一站式”查询服务。加强与雄安新区信用体系建设合作交流，积极为雄安新区守信主体在津提供便利措施。</w:t>
      </w:r>
    </w:p>
    <w:p>
      <w:pPr>
        <w:spacing w:line="580" w:lineRule="exact"/>
        <w:ind w:firstLine="640" w:firstLineChars="200"/>
        <w:outlineLvl w:val="2"/>
        <w:rPr>
          <w:rFonts w:eastAsia="楷体"/>
          <w:sz w:val="32"/>
          <w:szCs w:val="32"/>
        </w:rPr>
      </w:pPr>
      <w:r>
        <w:rPr>
          <w:rFonts w:eastAsia="仿宋_GB2312"/>
          <w:sz w:val="32"/>
          <w:szCs w:val="32"/>
        </w:rPr>
        <w:t>2.推动京津冀信用标准建立和信用评价工作。在《京津冀守信联合激励试点建设方案（2020-2024年）》和《京津冀区域协同社会信用标准框架协议》等已有的三地合作框架基础上，制定京津冀社会信用标准。在部分重点领域建立企业信用监管机制，开展企业信用评价，并逐步实现评价结果在三地同一领域信用监管工作中的互认。</w:t>
      </w:r>
    </w:p>
    <w:p>
      <w:pPr>
        <w:spacing w:line="580" w:lineRule="exact"/>
        <w:ind w:firstLine="640" w:firstLineChars="200"/>
        <w:outlineLvl w:val="2"/>
        <w:rPr>
          <w:rFonts w:eastAsia="楷体"/>
          <w:sz w:val="32"/>
          <w:szCs w:val="32"/>
        </w:rPr>
      </w:pPr>
      <w:r>
        <w:rPr>
          <w:rFonts w:eastAsia="仿宋_GB2312"/>
          <w:sz w:val="32"/>
          <w:szCs w:val="32"/>
        </w:rPr>
        <w:t>3.全面开展京津冀守信联合激励。开展信用惠民专项行动，推进京津冀个人诚信正向激励工程，积极引导社会各类服务资源，在交通出行、旅游、个人信贷、生活租赁、医疗、人力资源服务、家政服务、教育、巩固脱贫攻坚成果与乡村振兴等领域，为京津冀三地诚实守信的个人提供形式多样的优惠服务。开展信用惠企专项行动，利用“信易批”“信易租”“信易贷”等多种方式，扶持京津冀守信企业快速发展。</w:t>
      </w:r>
    </w:p>
    <w:p>
      <w:pPr>
        <w:spacing w:line="580" w:lineRule="exact"/>
        <w:ind w:firstLine="640" w:firstLineChars="200"/>
        <w:outlineLvl w:val="2"/>
        <w:rPr>
          <w:rFonts w:eastAsia="楷体"/>
          <w:sz w:val="32"/>
          <w:szCs w:val="32"/>
        </w:rPr>
      </w:pPr>
      <w:r>
        <w:rPr>
          <w:rFonts w:eastAsia="仿宋_GB2312"/>
          <w:sz w:val="32"/>
          <w:szCs w:val="32"/>
        </w:rPr>
        <w:t>4.加强跨区域信用协作交流。积极推动与长三角地区、粤港澳大湾区、川渝地区等跨区域信用合作交流，深化重点领域信用建设，探索信用信息共享、信用规制共建、信用监管共为、信用市场共育的协作模式。</w:t>
      </w:r>
    </w:p>
    <w:p>
      <w:pPr>
        <w:keepNext/>
        <w:keepLines/>
        <w:spacing w:line="580" w:lineRule="exact"/>
        <w:ind w:firstLine="640" w:firstLineChars="200"/>
        <w:outlineLvl w:val="0"/>
        <w:rPr>
          <w:rFonts w:eastAsia="黑体"/>
          <w:bCs/>
          <w:kern w:val="0"/>
          <w:sz w:val="32"/>
          <w:szCs w:val="32"/>
        </w:rPr>
      </w:pPr>
      <w:bookmarkStart w:id="35" w:name="_Toc64899224"/>
      <w:r>
        <w:rPr>
          <w:rFonts w:hAnsi="黑体" w:eastAsia="黑体"/>
          <w:bCs/>
          <w:kern w:val="0"/>
          <w:sz w:val="32"/>
          <w:szCs w:val="32"/>
        </w:rPr>
        <w:t>五、实施保障措施</w:t>
      </w:r>
      <w:bookmarkEnd w:id="35"/>
    </w:p>
    <w:p>
      <w:pPr>
        <w:keepNext/>
        <w:keepLines/>
        <w:spacing w:line="580" w:lineRule="exact"/>
        <w:ind w:firstLine="640" w:firstLineChars="200"/>
        <w:outlineLvl w:val="1"/>
        <w:rPr>
          <w:rFonts w:eastAsia="楷体_GB2312"/>
          <w:bCs/>
          <w:kern w:val="0"/>
          <w:sz w:val="32"/>
          <w:szCs w:val="32"/>
        </w:rPr>
      </w:pPr>
      <w:bookmarkStart w:id="36" w:name="_Toc50630423"/>
      <w:bookmarkStart w:id="37" w:name="_Toc64899225"/>
      <w:r>
        <w:rPr>
          <w:rFonts w:eastAsia="楷体_GB2312"/>
          <w:bCs/>
          <w:kern w:val="0"/>
          <w:sz w:val="32"/>
          <w:szCs w:val="32"/>
        </w:rPr>
        <w:t>（一）</w:t>
      </w:r>
      <w:bookmarkEnd w:id="36"/>
      <w:r>
        <w:rPr>
          <w:rFonts w:eastAsia="楷体_GB2312"/>
          <w:bCs/>
          <w:kern w:val="0"/>
          <w:sz w:val="32"/>
          <w:szCs w:val="32"/>
        </w:rPr>
        <w:t>强化组织保障</w:t>
      </w:r>
      <w:bookmarkEnd w:id="37"/>
    </w:p>
    <w:p>
      <w:pPr>
        <w:widowControl/>
        <w:overflowPunct w:val="0"/>
        <w:spacing w:line="580" w:lineRule="exact"/>
        <w:ind w:firstLine="640" w:firstLineChars="200"/>
        <w:rPr>
          <w:rFonts w:hint="eastAsia" w:eastAsia="仿宋_GB2312"/>
          <w:kern w:val="0"/>
          <w:sz w:val="32"/>
          <w:szCs w:val="32"/>
        </w:rPr>
      </w:pPr>
      <w:r>
        <w:rPr>
          <w:rFonts w:eastAsia="仿宋_GB2312"/>
          <w:kern w:val="0"/>
          <w:sz w:val="32"/>
          <w:szCs w:val="32"/>
        </w:rPr>
        <w:t>完善市、区社会信用体系建设工作的组织协调机制、工作推进机制和监测评价机制，统筹协调解决社会信用体系建设工作中的重大问题，强化对各区、各部门社会信用体系建设工作的组织协调和督促指导。各区将社会信用体系建设工作纳入重要议事议程，加强发展改革部门信用工作机构建设，充实人员力量。各部门制定本系统、本领域社会信用体系建设工作实施方案，明确任务分工，积极组织落实。</w:t>
      </w:r>
    </w:p>
    <w:p>
      <w:pPr>
        <w:widowControl/>
        <w:overflowPunct w:val="0"/>
        <w:spacing w:line="580" w:lineRule="exact"/>
        <w:ind w:firstLine="640" w:firstLineChars="200"/>
        <w:rPr>
          <w:rFonts w:hint="eastAsia" w:eastAsia="仿宋_GB2312"/>
          <w:kern w:val="0"/>
          <w:sz w:val="32"/>
          <w:szCs w:val="32"/>
        </w:rPr>
      </w:pPr>
      <w:r>
        <w:rPr>
          <w:rFonts w:eastAsia="楷体_GB2312"/>
          <w:bCs/>
          <w:kern w:val="0"/>
          <w:sz w:val="32"/>
          <w:szCs w:val="32"/>
        </w:rPr>
        <w:t>（二）强化资金扶持</w:t>
      </w:r>
    </w:p>
    <w:p>
      <w:pPr>
        <w:widowControl/>
        <w:overflowPunct w:val="0"/>
        <w:spacing w:line="580" w:lineRule="exact"/>
        <w:ind w:firstLine="480" w:firstLineChars="150"/>
        <w:rPr>
          <w:rFonts w:eastAsia="楷体"/>
          <w:kern w:val="0"/>
          <w:sz w:val="32"/>
          <w:szCs w:val="32"/>
        </w:rPr>
      </w:pPr>
      <w:r>
        <w:rPr>
          <w:rFonts w:eastAsia="仿宋_GB2312"/>
          <w:kern w:val="0"/>
          <w:sz w:val="32"/>
          <w:szCs w:val="32"/>
        </w:rPr>
        <w:t>市、区财政部门将应由政府负担的社会信用体系建设经费纳入预算，加大对信用平台网站建设、信用惠民便企创新应用、信用标准制订、信用产品研发推广等方面的支持力度，为社会信用体系建设工作提供必要保障。发挥政府引导基金的撬动作用，支持信用服务产业发展。</w:t>
      </w:r>
    </w:p>
    <w:p>
      <w:pPr>
        <w:keepNext/>
        <w:keepLines/>
        <w:spacing w:line="580" w:lineRule="exact"/>
        <w:ind w:firstLine="640" w:firstLineChars="200"/>
        <w:outlineLvl w:val="1"/>
        <w:rPr>
          <w:rFonts w:eastAsia="楷体_GB2312"/>
          <w:bCs/>
          <w:kern w:val="0"/>
          <w:sz w:val="32"/>
          <w:szCs w:val="32"/>
        </w:rPr>
      </w:pPr>
      <w:bookmarkStart w:id="38" w:name="_Toc50630425"/>
      <w:bookmarkStart w:id="39" w:name="_Toc64899227"/>
      <w:r>
        <w:rPr>
          <w:rFonts w:eastAsia="楷体_GB2312"/>
          <w:bCs/>
          <w:kern w:val="0"/>
          <w:sz w:val="32"/>
          <w:szCs w:val="32"/>
        </w:rPr>
        <w:t>（三）强化项目</w:t>
      </w:r>
      <w:bookmarkEnd w:id="38"/>
      <w:r>
        <w:rPr>
          <w:rFonts w:eastAsia="楷体_GB2312"/>
          <w:bCs/>
          <w:kern w:val="0"/>
          <w:sz w:val="32"/>
          <w:szCs w:val="32"/>
        </w:rPr>
        <w:t>建设</w:t>
      </w:r>
      <w:bookmarkEnd w:id="39"/>
    </w:p>
    <w:p>
      <w:pPr>
        <w:widowControl/>
        <w:overflowPunct w:val="0"/>
        <w:spacing w:line="580" w:lineRule="exact"/>
        <w:ind w:firstLine="640" w:firstLineChars="200"/>
        <w:rPr>
          <w:rFonts w:eastAsia="楷体"/>
          <w:sz w:val="32"/>
          <w:szCs w:val="32"/>
        </w:rPr>
      </w:pPr>
      <w:r>
        <w:rPr>
          <w:rFonts w:eastAsia="仿宋_GB2312"/>
          <w:kern w:val="0"/>
          <w:sz w:val="32"/>
          <w:szCs w:val="32"/>
        </w:rPr>
        <w:t>以科技赋能信用，以信用助推创新，以市信用信息共享平台为基础，整合企业信用、金融信贷等相关市场信用信息，充分挖掘信用信息价值，创新拓展“信易+”场景，谋划“信用+数字经济”“信用+金融服务”“信用+公共资源交易”“信用+医疗”等一批好项目、大项目，进一步提升信用服务经济社会的能力，助力我市高质量发展。</w:t>
      </w:r>
    </w:p>
    <w:p>
      <w:pPr>
        <w:keepNext/>
        <w:keepLines/>
        <w:spacing w:line="580" w:lineRule="exact"/>
        <w:ind w:firstLine="640" w:firstLineChars="200"/>
        <w:outlineLvl w:val="1"/>
        <w:rPr>
          <w:rFonts w:eastAsia="楷体_GB2312"/>
          <w:bCs/>
          <w:kern w:val="0"/>
          <w:sz w:val="32"/>
          <w:szCs w:val="32"/>
        </w:rPr>
      </w:pPr>
      <w:bookmarkStart w:id="40" w:name="_Toc50630426"/>
      <w:bookmarkStart w:id="41" w:name="_Toc64899228"/>
      <w:r>
        <w:rPr>
          <w:rFonts w:eastAsia="楷体_GB2312"/>
          <w:bCs/>
          <w:kern w:val="0"/>
          <w:sz w:val="32"/>
          <w:szCs w:val="32"/>
        </w:rPr>
        <w:t>（四）强化人才</w:t>
      </w:r>
      <w:bookmarkEnd w:id="40"/>
      <w:r>
        <w:rPr>
          <w:rFonts w:eastAsia="楷体_GB2312"/>
          <w:bCs/>
          <w:kern w:val="0"/>
          <w:sz w:val="32"/>
          <w:szCs w:val="32"/>
        </w:rPr>
        <w:t>支撑</w:t>
      </w:r>
      <w:bookmarkEnd w:id="41"/>
    </w:p>
    <w:p>
      <w:pPr>
        <w:widowControl/>
        <w:overflowPunct w:val="0"/>
        <w:spacing w:line="580" w:lineRule="exact"/>
        <w:ind w:firstLine="640" w:firstLineChars="200"/>
        <w:rPr>
          <w:rFonts w:eastAsia="楷体"/>
          <w:sz w:val="32"/>
          <w:szCs w:val="32"/>
        </w:rPr>
      </w:pPr>
      <w:r>
        <w:rPr>
          <w:rFonts w:eastAsia="仿宋_GB2312"/>
          <w:sz w:val="32"/>
          <w:szCs w:val="32"/>
        </w:rPr>
        <w:t>充分调动高校、科研机构、专家智库和信用服务机构的引领作用，支持有条件的高校和科研机构开展信用理论、信用管理、信用技术、信用标准等方面研究。加强信用管理学科建设，鼓励高校进一步增加信用管理专业相关课程设置，提高师生在社会信用体系建设、信用风险管理、企业信用管理等领域的专业素养。建立健全信用管理职业培训与专业考评制度，积极开展信用管理资质人才的培养和相关资格培训认定，为我市社会信用体系建设奠定良好的人才基础。</w:t>
      </w:r>
    </w:p>
    <w:p>
      <w:pPr>
        <w:keepNext/>
        <w:keepLines/>
        <w:spacing w:line="580" w:lineRule="exact"/>
        <w:ind w:firstLine="640" w:firstLineChars="200"/>
        <w:outlineLvl w:val="1"/>
        <w:rPr>
          <w:rFonts w:eastAsia="楷体_GB2312"/>
          <w:bCs/>
          <w:kern w:val="0"/>
          <w:sz w:val="32"/>
          <w:szCs w:val="32"/>
        </w:rPr>
      </w:pPr>
      <w:bookmarkStart w:id="42" w:name="_Toc50630427"/>
      <w:bookmarkStart w:id="43" w:name="_Toc64899229"/>
      <w:r>
        <w:rPr>
          <w:rFonts w:eastAsia="楷体_GB2312"/>
          <w:bCs/>
          <w:kern w:val="0"/>
          <w:sz w:val="32"/>
          <w:szCs w:val="32"/>
        </w:rPr>
        <w:t>（五）强化</w:t>
      </w:r>
      <w:bookmarkEnd w:id="42"/>
      <w:r>
        <w:rPr>
          <w:rFonts w:eastAsia="楷体_GB2312"/>
          <w:bCs/>
          <w:kern w:val="0"/>
          <w:sz w:val="32"/>
          <w:szCs w:val="32"/>
        </w:rPr>
        <w:t>安全管控</w:t>
      </w:r>
      <w:bookmarkEnd w:id="43"/>
    </w:p>
    <w:p>
      <w:pPr>
        <w:widowControl/>
        <w:overflowPunct w:val="0"/>
        <w:spacing w:line="580" w:lineRule="exact"/>
        <w:ind w:firstLine="640" w:firstLineChars="200"/>
        <w:rPr>
          <w:rFonts w:eastAsia="楷体"/>
          <w:sz w:val="32"/>
          <w:szCs w:val="32"/>
        </w:rPr>
      </w:pPr>
      <w:r>
        <w:rPr>
          <w:rFonts w:eastAsia="仿宋_GB2312"/>
          <w:kern w:val="0"/>
          <w:sz w:val="32"/>
          <w:szCs w:val="32"/>
        </w:rPr>
        <w:t>强化信用信息安全主体责任，建立健全信用信息安全监控体系及应急处理机制，推进重点领域安全风险评估、安全等级保护和系统安全认证。强化数据资源全生命周期安全管理，严格按流程和保密要求办理信用数据的抽取、留存、流转、应用和销毁，确保各环节数据安全。规范第三方信用服务机构信用数据使用管理，加强涉及国家利益、商业秘密、个人隐私的数据保护。</w:t>
      </w:r>
    </w:p>
    <w:p>
      <w:pPr>
        <w:keepNext/>
        <w:keepLines/>
        <w:spacing w:line="580" w:lineRule="exact"/>
        <w:ind w:firstLine="640" w:firstLineChars="200"/>
        <w:outlineLvl w:val="1"/>
        <w:rPr>
          <w:rFonts w:eastAsia="楷体_GB2312"/>
          <w:bCs/>
          <w:kern w:val="0"/>
          <w:sz w:val="32"/>
          <w:szCs w:val="32"/>
        </w:rPr>
      </w:pPr>
      <w:bookmarkStart w:id="44" w:name="_Toc50630428"/>
      <w:bookmarkStart w:id="45" w:name="_Toc64899230"/>
      <w:r>
        <w:rPr>
          <w:rFonts w:eastAsia="楷体_GB2312"/>
          <w:bCs/>
          <w:kern w:val="0"/>
          <w:sz w:val="32"/>
          <w:szCs w:val="32"/>
        </w:rPr>
        <w:t>（六）</w:t>
      </w:r>
      <w:bookmarkEnd w:id="44"/>
      <w:r>
        <w:rPr>
          <w:rFonts w:eastAsia="楷体_GB2312"/>
          <w:bCs/>
          <w:kern w:val="0"/>
          <w:sz w:val="32"/>
          <w:szCs w:val="32"/>
        </w:rPr>
        <w:t>强化诚信宣传</w:t>
      </w:r>
      <w:bookmarkEnd w:id="45"/>
    </w:p>
    <w:p>
      <w:pPr>
        <w:widowControl/>
        <w:overflowPunct w:val="0"/>
        <w:spacing w:line="580" w:lineRule="exact"/>
        <w:ind w:firstLine="640" w:firstLineChars="200"/>
        <w:rPr>
          <w:rFonts w:eastAsia="仿宋_GB2312"/>
          <w:sz w:val="32"/>
          <w:szCs w:val="32"/>
        </w:rPr>
      </w:pPr>
      <w:r>
        <w:rPr>
          <w:rFonts w:eastAsia="仿宋_GB2312"/>
          <w:kern w:val="0"/>
          <w:sz w:val="32"/>
          <w:szCs w:val="32"/>
        </w:rPr>
        <w:t>充分发挥主流媒体和微博、微信等新媒体作用，弘扬诚信文化，开展诚信主题宣传，普及《天津市社会信用条例》，选树诚信典型，让诚信理念深入人心。将诚信建设纳入文明城区、文明村镇、文明单位、文明家庭、文明校园等各类群众性精神文明创建活动，营造全社会关注、支持、参与诚信建设的良好氛围。</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snapToGrid w:val="0"/>
        <w:jc w:val="left"/>
        <w:rPr>
          <w:rFonts w:ascii="Calibri" w:hAnsi="Calibri"/>
          <w:sz w:val="18"/>
          <w:szCs w:val="18"/>
        </w:rPr>
      </w:pPr>
      <w:r>
        <w:rPr>
          <w:rFonts w:ascii="Calibri" w:hAnsi="Calibri"/>
          <w:sz w:val="18"/>
          <w:szCs w:val="18"/>
          <w:vertAlign w:val="superscript"/>
        </w:rPr>
        <w:footnoteRef/>
      </w:r>
      <w:r>
        <w:rPr>
          <w:rFonts w:hint="eastAsia" w:ascii="Calibri" w:hAnsi="Calibri"/>
          <w:sz w:val="18"/>
          <w:szCs w:val="18"/>
        </w:rPr>
        <w:t>1：是指一个总目标，即：打响“诚信天津”品牌；</w:t>
      </w:r>
    </w:p>
    <w:p>
      <w:pPr>
        <w:snapToGrid w:val="0"/>
        <w:jc w:val="left"/>
        <w:rPr>
          <w:rFonts w:ascii="Calibri" w:hAnsi="Calibri"/>
          <w:sz w:val="18"/>
          <w:szCs w:val="18"/>
        </w:rPr>
      </w:pPr>
      <w:r>
        <w:rPr>
          <w:rFonts w:hint="eastAsia" w:ascii="Calibri" w:hAnsi="Calibri"/>
          <w:sz w:val="18"/>
          <w:szCs w:val="18"/>
        </w:rPr>
        <w:t>2：是指两大任务，即：服务实现城市功能定位和助力优化营商环境；</w:t>
      </w:r>
    </w:p>
    <w:p>
      <w:pPr>
        <w:snapToGrid w:val="0"/>
        <w:jc w:val="left"/>
        <w:rPr>
          <w:rFonts w:ascii="Calibri" w:hAnsi="Calibri"/>
          <w:sz w:val="18"/>
          <w:szCs w:val="18"/>
        </w:rPr>
      </w:pPr>
      <w:r>
        <w:rPr>
          <w:rFonts w:hint="eastAsia" w:ascii="Calibri" w:hAnsi="Calibri"/>
          <w:sz w:val="18"/>
          <w:szCs w:val="18"/>
        </w:rPr>
        <w:t>8：是指八大举措，即：健全信用法规标准体系、提升信用信息基础设施、构建以信用为基础的新型监管机制、加强信用主体权益保护、繁荣信用服务市场、完善信用便民惠企体系、推进信用试点示范建设、推动京津冀信用体系协同发展。</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10140"/>
    <w:rsid w:val="13332CBF"/>
    <w:rsid w:val="1FFE6299"/>
    <w:rsid w:val="36DD6EBF"/>
    <w:rsid w:val="4CBD3500"/>
    <w:rsid w:val="56F7F1B4"/>
    <w:rsid w:val="79910140"/>
    <w:rsid w:val="EBEA0B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14264</Words>
  <Characters>14473</Characters>
  <Lines>0</Lines>
  <Paragraphs>0</Paragraphs>
  <TotalTime>8</TotalTime>
  <ScaleCrop>false</ScaleCrop>
  <LinksUpToDate>false</LinksUpToDate>
  <CharactersWithSpaces>14474</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2021-08-03T10:15:00Z</dcterms:created>
  <dc:creator>春龙</dc:creator>
  <cp:lastModifiedBy>WPS_1628732352</cp:lastModifiedBy>
  <dcterms:modified xsi:type="dcterms:W3CDTF">2022-10-24T02:48:16Z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411ECBADB7584E4ABF36D3B88DA277CF</vt:lpwstr>
  </property>
</Properties>
</file>