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603"/>
          <w:tab w:val="left" w:pos="7638"/>
        </w:tabs>
        <w:snapToGrid w:val="0"/>
        <w:spacing w:line="58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关于促进天津市</w:t>
      </w:r>
      <w:bookmarkStart w:id="0" w:name="_GoBack"/>
      <w:bookmarkEnd w:id="0"/>
    </w:p>
    <w:p>
      <w:pPr>
        <w:pStyle w:val="2"/>
        <w:tabs>
          <w:tab w:val="left" w:pos="603"/>
          <w:tab w:val="left" w:pos="7638"/>
        </w:tabs>
        <w:snapToGrid w:val="0"/>
        <w:spacing w:line="58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特色小镇规范健康发展的实施方案</w:t>
      </w:r>
    </w:p>
    <w:p>
      <w:pPr>
        <w:pStyle w:val="3"/>
        <w:tabs>
          <w:tab w:val="left" w:pos="7920"/>
        </w:tabs>
        <w:spacing w:line="580" w:lineRule="exact"/>
        <w:ind w:firstLine="640" w:firstLineChars="200"/>
        <w:rPr>
          <w:rFonts w:hint="eastAsia" w:eastAsia="仿宋_GB2312"/>
          <w:szCs w:val="32"/>
        </w:rPr>
      </w:pPr>
    </w:p>
    <w:p>
      <w:pPr>
        <w:pStyle w:val="3"/>
        <w:tabs>
          <w:tab w:val="left" w:pos="7920"/>
        </w:tabs>
        <w:spacing w:line="580" w:lineRule="exact"/>
        <w:ind w:firstLine="640" w:firstLineChars="200"/>
        <w:rPr>
          <w:rFonts w:hint="eastAsia" w:eastAsia="仿宋_GB2312"/>
          <w:szCs w:val="32"/>
        </w:rPr>
      </w:pPr>
      <w:r>
        <w:rPr>
          <w:rFonts w:hint="eastAsia" w:eastAsia="仿宋_GB2312"/>
          <w:szCs w:val="32"/>
        </w:rPr>
        <w:t>为促进天津市特色小镇规范健康发展，根据《国务院办公厅转发国家发展改革委关于促进特色小镇规范健康发展意见的通知》（国办发〔2020〕33号）和国家发展改革委等10部委《关于印发全国特色小镇规范健康发展导则的通知》（发改规划〔2021〕1383号），</w:t>
      </w:r>
      <w:r>
        <w:rPr>
          <w:rFonts w:eastAsia="仿宋_GB2312"/>
          <w:szCs w:val="32"/>
        </w:rPr>
        <w:t>经市人民政府同意，</w:t>
      </w:r>
      <w:r>
        <w:rPr>
          <w:rFonts w:hint="eastAsia" w:eastAsia="仿宋_GB2312"/>
          <w:szCs w:val="32"/>
        </w:rPr>
        <w:t>现提出如下实施方案。</w:t>
      </w:r>
    </w:p>
    <w:p>
      <w:pPr>
        <w:pStyle w:val="3"/>
        <w:tabs>
          <w:tab w:val="left" w:pos="7920"/>
        </w:tabs>
        <w:spacing w:line="580" w:lineRule="exact"/>
        <w:ind w:firstLine="640" w:firstLineChars="200"/>
        <w:outlineLvl w:val="0"/>
        <w:rPr>
          <w:rFonts w:hint="eastAsia" w:eastAsia="黑体" w:cs="黑体"/>
          <w:szCs w:val="32"/>
        </w:rPr>
      </w:pPr>
      <w:r>
        <w:rPr>
          <w:rFonts w:hint="eastAsia" w:eastAsia="黑体" w:cs="黑体"/>
          <w:szCs w:val="32"/>
        </w:rPr>
        <w:t>一、总体要求</w:t>
      </w:r>
    </w:p>
    <w:p>
      <w:pPr>
        <w:pStyle w:val="3"/>
        <w:tabs>
          <w:tab w:val="left" w:pos="7920"/>
        </w:tabs>
        <w:spacing w:line="580" w:lineRule="exact"/>
        <w:ind w:firstLine="640" w:firstLineChars="200"/>
        <w:rPr>
          <w:rFonts w:hint="eastAsia" w:eastAsia="仿宋_GB2312"/>
          <w:szCs w:val="32"/>
        </w:rPr>
      </w:pPr>
      <w:r>
        <w:rPr>
          <w:rFonts w:hint="eastAsia" w:eastAsia="楷体_GB2312" w:cs="楷体_GB2312"/>
          <w:szCs w:val="32"/>
        </w:rPr>
        <w:t>（一）指导思想。</w:t>
      </w:r>
      <w:r>
        <w:rPr>
          <w:rFonts w:hint="eastAsia" w:eastAsia="仿宋_GB2312"/>
          <w:szCs w:val="32"/>
        </w:rPr>
        <w:t>以习近平新时代中国特色社会主义思想为指导，全面贯彻党的十九大和十九届二中、三中、四中、五中、六中全会精神，认真落实习近平总书记对天津工作“三个着力”重要要求和一系列重要指示批示精神，完整、准确、全面贯彻新发展理念，尊重规律、注重质量，以准确把握特色小镇发展定位为前提，以培育发展主导产业为重点，促进产城人文融合，突出企业主体地位，建立健全激励约束机制和规范管理机制，走集约发展之路，有力有序有效推进特色小镇高质量发展，为扎实做好“六稳”工作、全面落实“六保”任务提供抓手，为坚定实施扩大内需战略和新型城镇化战略提供支撑。</w:t>
      </w:r>
    </w:p>
    <w:p>
      <w:pPr>
        <w:pStyle w:val="3"/>
        <w:tabs>
          <w:tab w:val="left" w:pos="7920"/>
        </w:tabs>
        <w:spacing w:line="580" w:lineRule="exact"/>
        <w:ind w:firstLine="640" w:firstLineChars="200"/>
        <w:rPr>
          <w:rFonts w:hint="eastAsia" w:eastAsia="仿宋_GB2312"/>
          <w:szCs w:val="32"/>
        </w:rPr>
      </w:pPr>
      <w:r>
        <w:rPr>
          <w:rFonts w:hint="eastAsia" w:eastAsia="楷体_GB2312" w:cs="楷体_GB2312"/>
          <w:szCs w:val="32"/>
        </w:rPr>
        <w:t>（二）工作目标。</w:t>
      </w:r>
      <w:r>
        <w:rPr>
          <w:rFonts w:hint="eastAsia" w:eastAsia="仿宋_GB2312"/>
          <w:szCs w:val="32"/>
        </w:rPr>
        <w:t>未来5年，努力培育产业特而强、功能聚而合、形态小而美、机制新而活的特色小镇。围绕新动能引育，聚焦科技创新孵化、培育、联合攻关等，打造科技创新类特色小镇；围绕新兴产业，聚焦生物医药、新能源、新材料、高端装备等，打造先进制造类特色小镇；围绕建设北方国际航运枢纽和北方会展中心城市，聚焦物流配送、冷链仓储、商品集散，打造商贸物流类特色小镇；围绕海洋、海河、大运河、长城、盘山等地域优势，聚焦文化旅游、创意设计，打造文化旅游类特色小镇；围绕乡村振兴，聚焦本市乡村种养业、加工业传统优势，打造一二三产业融合发展的传统农特类特色小镇。推动特色小镇成为本市经济高质量发展的新载体、新型城镇化建设的新空间、城乡融合发展的新支点。</w:t>
      </w:r>
    </w:p>
    <w:p>
      <w:pPr>
        <w:pStyle w:val="3"/>
        <w:tabs>
          <w:tab w:val="left" w:pos="7920"/>
        </w:tabs>
        <w:spacing w:line="580" w:lineRule="exact"/>
        <w:ind w:firstLine="640" w:firstLineChars="200"/>
        <w:outlineLvl w:val="0"/>
        <w:rPr>
          <w:rFonts w:hint="eastAsia" w:eastAsia="黑体" w:cs="黑体"/>
          <w:szCs w:val="32"/>
        </w:rPr>
      </w:pPr>
      <w:r>
        <w:rPr>
          <w:rFonts w:hint="eastAsia" w:eastAsia="黑体" w:cs="黑体"/>
          <w:szCs w:val="32"/>
        </w:rPr>
        <w:t>二、建设标准</w:t>
      </w:r>
    </w:p>
    <w:p>
      <w:pPr>
        <w:pStyle w:val="3"/>
        <w:tabs>
          <w:tab w:val="left" w:pos="7920"/>
        </w:tabs>
        <w:spacing w:line="580" w:lineRule="exact"/>
        <w:ind w:firstLine="640" w:firstLineChars="200"/>
        <w:rPr>
          <w:rFonts w:hint="eastAsia" w:eastAsia="仿宋_GB2312"/>
          <w:szCs w:val="32"/>
        </w:rPr>
      </w:pPr>
      <w:r>
        <w:rPr>
          <w:rFonts w:hint="eastAsia" w:eastAsia="仿宋_GB2312"/>
          <w:szCs w:val="32"/>
        </w:rPr>
        <w:t>各区创建特色小镇按标准化、清单化方式推进。依托各自区位条件、资源禀赋、产业基础和历史传承，按照特色小镇基础标准中区位布局、空间范围、特色产业、多元功能、特色风貌、投入方式、底线要求等7方面20项要求，以及分类特色小镇具体标准中科技创新、先进制造、商贸流通、文化旅游、传统农特等5类标准要求，做好规范创建工作，确保特色小镇具有细分高端的鲜明产业特色、产城人文融合的多元功能特征、集约高效的空间利用特点。</w:t>
      </w:r>
    </w:p>
    <w:p>
      <w:pPr>
        <w:pStyle w:val="3"/>
        <w:tabs>
          <w:tab w:val="left" w:pos="7920"/>
        </w:tabs>
        <w:spacing w:line="580" w:lineRule="exact"/>
        <w:ind w:firstLine="640" w:firstLineChars="200"/>
        <w:outlineLvl w:val="0"/>
        <w:rPr>
          <w:rFonts w:hint="eastAsia" w:eastAsia="黑体" w:cs="黑体"/>
          <w:szCs w:val="32"/>
        </w:rPr>
      </w:pPr>
      <w:r>
        <w:rPr>
          <w:rFonts w:hint="eastAsia" w:eastAsia="黑体" w:cs="黑体"/>
          <w:szCs w:val="32"/>
        </w:rPr>
        <w:t>三、规范管理</w:t>
      </w:r>
    </w:p>
    <w:p>
      <w:pPr>
        <w:pStyle w:val="3"/>
        <w:tabs>
          <w:tab w:val="left" w:pos="7920"/>
        </w:tabs>
        <w:spacing w:line="580" w:lineRule="exact"/>
        <w:ind w:firstLine="640" w:firstLineChars="200"/>
        <w:rPr>
          <w:rFonts w:hint="eastAsia" w:eastAsia="仿宋_GB2312"/>
          <w:szCs w:val="32"/>
        </w:rPr>
      </w:pPr>
      <w:r>
        <w:rPr>
          <w:rFonts w:hint="eastAsia" w:eastAsia="楷体_GB2312" w:cs="楷体_GB2312"/>
          <w:szCs w:val="32"/>
        </w:rPr>
        <w:t>（一）实行统一管理。</w:t>
      </w:r>
      <w:r>
        <w:rPr>
          <w:rFonts w:hint="eastAsia" w:eastAsia="仿宋_GB2312"/>
          <w:szCs w:val="32"/>
        </w:rPr>
        <w:t>充分发挥天津市特色小镇规划建设工作联席会议（以下简称联席会议）制度的作用，市发展改革委牵头，市科技局、市工业和信息化局、市财政局、市规划资源局、市生态环境局、市住房城乡建设委、市农业农村委、市商务局、市文化和旅游局、市统计局、市金融局、市体育局、市市场监管委等有关部门分工协作，对特色小镇实行统一管理，强化统筹协调，加强跟踪监督、统计监测、总结评估、典型示范和规范纠偏等工作，有序推进本市特色小镇规范健康发展。市发展改革委要积极发挥联席会议办公室作用，组织落实联席会议各项部署要求，做好特色小镇建设的推动实施工作。（责任单位：市发展改革委牵头，市级有关部门配合）</w:t>
      </w:r>
    </w:p>
    <w:p>
      <w:pPr>
        <w:pStyle w:val="3"/>
        <w:tabs>
          <w:tab w:val="left" w:pos="7920"/>
        </w:tabs>
        <w:spacing w:line="580" w:lineRule="exact"/>
        <w:ind w:firstLine="640" w:firstLineChars="200"/>
        <w:rPr>
          <w:rFonts w:hint="eastAsia" w:eastAsia="仿宋_GB2312"/>
          <w:szCs w:val="32"/>
        </w:rPr>
      </w:pPr>
      <w:r>
        <w:rPr>
          <w:rFonts w:hint="eastAsia" w:eastAsia="楷体_GB2312" w:cs="楷体_GB2312"/>
          <w:szCs w:val="32"/>
        </w:rPr>
        <w:t>（二）建立特色小镇培育名单。</w:t>
      </w:r>
      <w:r>
        <w:rPr>
          <w:rFonts w:hint="eastAsia" w:eastAsia="仿宋_GB2312"/>
          <w:szCs w:val="32"/>
        </w:rPr>
        <w:t>各区人民政府对照特色小镇有关要求，结合本区实际，提出拟培育的特色小镇，从明确特色产业、功能分区、四至范围、特色风貌、投资运营商、重点项目、建设模式、投融资模式、盈利模式等方面，科学编制特色小镇规划方案，向联席会议申请创建。联席会议按照严定标准、严控数量、统一管理原则，严格审核规划方案，通过后纳入特色小镇培育名单。（责任单位：市发展改革委牵头，各区人民政府具体负责，市级有关部门配合）</w:t>
      </w:r>
    </w:p>
    <w:p>
      <w:pPr>
        <w:pStyle w:val="3"/>
        <w:tabs>
          <w:tab w:val="left" w:pos="7920"/>
        </w:tabs>
        <w:spacing w:line="580" w:lineRule="exact"/>
        <w:ind w:firstLine="640" w:firstLineChars="200"/>
        <w:rPr>
          <w:rFonts w:hint="eastAsia" w:eastAsia="仿宋_GB2312"/>
          <w:szCs w:val="32"/>
        </w:rPr>
      </w:pPr>
      <w:r>
        <w:rPr>
          <w:rFonts w:hint="eastAsia" w:eastAsia="楷体_GB2312" w:cs="楷体_GB2312"/>
          <w:szCs w:val="32"/>
        </w:rPr>
        <w:t>（三）建立特色小镇创建名单。</w:t>
      </w:r>
      <w:r>
        <w:rPr>
          <w:rFonts w:hint="eastAsia" w:eastAsia="仿宋_GB2312"/>
          <w:szCs w:val="32"/>
        </w:rPr>
        <w:t>联席会议从特色小镇培育名单中择优建立特色小镇创建名单。列入培育名单的特色小镇，经过培育建设，可由区人民政府适时申请纳入创建名单。联席会议办公室每年年底前公布特色小镇培育名单及创建名单，并报送国家发展改革委纳入全国特色小镇信息库。联席会议组织对此前本市有关部门或行业协会命名的特色小镇进行审核，不符合国家及本市有关要求的，及时清理或更名，符合要求的纳入特色小镇创建名单。各区要限期完成对自行命名特色小镇的统一清理。（责任单位：市发展改革委牵头，各区人民政府具体负责，市级有关部门配合）</w:t>
      </w:r>
    </w:p>
    <w:p>
      <w:pPr>
        <w:pStyle w:val="3"/>
        <w:tabs>
          <w:tab w:val="left" w:pos="7920"/>
        </w:tabs>
        <w:spacing w:line="580" w:lineRule="exact"/>
        <w:ind w:firstLine="640" w:firstLineChars="200"/>
        <w:rPr>
          <w:rFonts w:hint="eastAsia" w:eastAsia="仿宋_GB2312"/>
          <w:szCs w:val="32"/>
        </w:rPr>
      </w:pPr>
      <w:r>
        <w:rPr>
          <w:rFonts w:hint="eastAsia" w:eastAsia="楷体_GB2312" w:cs="楷体_GB2312"/>
          <w:szCs w:val="32"/>
        </w:rPr>
        <w:t>（四）规范特色小镇年度考核和建设。</w:t>
      </w:r>
      <w:r>
        <w:rPr>
          <w:rFonts w:hint="eastAsia" w:eastAsia="仿宋_GB2312"/>
          <w:szCs w:val="32"/>
        </w:rPr>
        <w:t>联席会议每两年组织对列入本市特色小镇创建名单的小镇建设进度进行考核，对考核不合格的，责令限期整改，对不能按期完成整改任务的，重新列入培育名单或取消创建资格。对列入本市特色小镇培育名单的小镇定期进行考核，对考核不合格的，取消培育资格。未纳入特色小镇培育名单及创建名单的，不得以特色小镇名义开工建设。（责任单位：市发展改革委牵头）</w:t>
      </w:r>
    </w:p>
    <w:p>
      <w:pPr>
        <w:pStyle w:val="3"/>
        <w:tabs>
          <w:tab w:val="left" w:pos="7920"/>
        </w:tabs>
        <w:spacing w:line="580" w:lineRule="exact"/>
        <w:ind w:firstLine="640" w:firstLineChars="200"/>
        <w:rPr>
          <w:rFonts w:hint="eastAsia" w:eastAsia="仿宋_GB2312"/>
          <w:szCs w:val="32"/>
        </w:rPr>
      </w:pPr>
      <w:r>
        <w:rPr>
          <w:rFonts w:hint="eastAsia" w:eastAsia="楷体_GB2312" w:cs="楷体_GB2312"/>
          <w:szCs w:val="32"/>
        </w:rPr>
        <w:t>（五）规范开展特色小镇验收命名工作。</w:t>
      </w:r>
      <w:r>
        <w:rPr>
          <w:rFonts w:hint="eastAsia" w:eastAsia="仿宋_GB2312"/>
          <w:szCs w:val="32"/>
        </w:rPr>
        <w:t>各区人民政府对进入本市特色小镇创建名单的小镇，创建成熟后，向联席会议办公室申请验收命名。联席会议办公室按照特色小镇创建标准进行考核验收，考核验收合格并报联席会议同意后，正式命名为天津市特色小镇。验收不合格的，根据验收结果纳入特色小镇创建名单、培育名单或取消创建资格。任何部门和行业协会均不得私自命名评比特色小镇。（责任单位：市发展改革委牵头）</w:t>
      </w:r>
    </w:p>
    <w:p>
      <w:pPr>
        <w:pStyle w:val="3"/>
        <w:tabs>
          <w:tab w:val="left" w:pos="7920"/>
        </w:tabs>
        <w:spacing w:line="580" w:lineRule="exact"/>
        <w:ind w:firstLine="640" w:firstLineChars="200"/>
        <w:outlineLvl w:val="0"/>
        <w:rPr>
          <w:rFonts w:hint="eastAsia" w:eastAsia="黑体" w:cs="黑体"/>
          <w:szCs w:val="32"/>
        </w:rPr>
      </w:pPr>
      <w:r>
        <w:rPr>
          <w:rFonts w:hint="eastAsia" w:eastAsia="黑体" w:cs="黑体"/>
          <w:szCs w:val="32"/>
        </w:rPr>
        <w:t>四、政策支持</w:t>
      </w:r>
    </w:p>
    <w:p>
      <w:pPr>
        <w:pStyle w:val="3"/>
        <w:tabs>
          <w:tab w:val="left" w:pos="7920"/>
        </w:tabs>
        <w:spacing w:line="580" w:lineRule="exact"/>
        <w:ind w:firstLine="640" w:firstLineChars="200"/>
        <w:rPr>
          <w:rFonts w:hint="eastAsia" w:eastAsia="仿宋_GB2312"/>
          <w:szCs w:val="32"/>
        </w:rPr>
      </w:pPr>
      <w:r>
        <w:rPr>
          <w:rFonts w:hint="eastAsia" w:eastAsia="楷体_GB2312" w:cs="楷体_GB2312"/>
          <w:szCs w:val="32"/>
        </w:rPr>
        <w:t>（一）开展体制机制创新试验。</w:t>
      </w:r>
      <w:r>
        <w:rPr>
          <w:rFonts w:hint="eastAsia" w:eastAsia="仿宋_GB2312"/>
          <w:szCs w:val="32"/>
        </w:rPr>
        <w:t>根据特色小镇大多数位于城乡结合部的区位特点，推动其先行承接城乡融合发展等相关改革试验，努力探索微型产业集聚区高质量发展的模式和路径。深化“放管服”改革，因地制宜建设便企政务服务设施，有效承接涉企行政审批事项，完善政务服务功能，优化营商环境。允许特色小镇稳妥探索综合体项目整体立项、子项目灵活布局的可行做法。（责任单位：市政务服务办、市规划资源局、市住房城乡建设委、各区人民政府按职责分工）</w:t>
      </w:r>
    </w:p>
    <w:p>
      <w:pPr>
        <w:pStyle w:val="3"/>
        <w:tabs>
          <w:tab w:val="left" w:pos="7920"/>
        </w:tabs>
        <w:spacing w:line="580" w:lineRule="exact"/>
        <w:ind w:firstLine="640" w:firstLineChars="200"/>
        <w:rPr>
          <w:rFonts w:hint="eastAsia" w:eastAsia="仿宋_GB2312"/>
          <w:szCs w:val="32"/>
        </w:rPr>
      </w:pPr>
      <w:r>
        <w:rPr>
          <w:rFonts w:hint="eastAsia" w:eastAsia="楷体_GB2312" w:cs="楷体_GB2312"/>
          <w:szCs w:val="32"/>
        </w:rPr>
        <w:t>（二）土地要素保障。</w:t>
      </w:r>
      <w:r>
        <w:rPr>
          <w:rFonts w:hint="eastAsia" w:eastAsia="仿宋_GB2312"/>
          <w:szCs w:val="32"/>
        </w:rPr>
        <w:t>特色小镇具体布局要与国土空间规划做好衔接，在不突破生态保护红线、永久基本农田、城镇开发边界三条控制线的前提下进行规划建设。确需新增建设用地的，应当依法办理土地转用征收手续。稳妥探索农村集体经营性建设用地直接入市交易，鼓励建设用地多功能复合利用，盘活存量土地资源和低效用地，支持新兴产业发展。在符合规划前提下，对于产业用地政策中明确利用存量房产、土地资源发展国家支持产业行业的，可享受5年过渡期不改变用地主体和规划条件的优惠政策。5年期满及涉及转让需办理相关用地手续的，除符合《划拨用地目录》的可保留划拨外，可按新用途、新权利类型、市场价，依法以协议方式办理。对先进制造类、科技创新类特色小镇，支持其在符合国土空间规划前提下，推进二三产业混合用地，经规划资源等部门充分论证，新产业工业项目用地，生产服务、行政办公、生活服务设施建筑面积占项目总建筑面积比例不超过15%的，可仍按工业用途管理。科教用地可兼容一定比例的研发与中试、科技服务设施与项目及生活性服务设施。（责任单位：市规划资源局牵头，各区人民政府具体负责）</w:t>
      </w:r>
    </w:p>
    <w:p>
      <w:pPr>
        <w:pStyle w:val="3"/>
        <w:tabs>
          <w:tab w:val="left" w:pos="7920"/>
        </w:tabs>
        <w:spacing w:line="580" w:lineRule="exact"/>
        <w:ind w:firstLine="640" w:firstLineChars="200"/>
        <w:rPr>
          <w:rFonts w:hint="eastAsia" w:eastAsia="仿宋_GB2312"/>
          <w:szCs w:val="32"/>
        </w:rPr>
      </w:pPr>
      <w:r>
        <w:rPr>
          <w:rFonts w:hint="eastAsia" w:eastAsia="楷体_GB2312" w:cs="楷体_GB2312"/>
          <w:szCs w:val="32"/>
        </w:rPr>
        <w:t>（三）资金支持保障。</w:t>
      </w:r>
      <w:r>
        <w:rPr>
          <w:rFonts w:hint="eastAsia" w:eastAsia="仿宋_GB2312"/>
          <w:szCs w:val="32"/>
        </w:rPr>
        <w:t>各区结合实际情况，统筹使用支持区域高质量发展、税收增量分成等扶持资金，以及本区自有财力，支持特色小镇建设。完善特色小镇多元投入保障机制，争取中央预算内投资支持本市特色小镇建设。引入各类社会资本，带动民间投资参与投入。支持利用地方政府专项债券用于特色小镇有一定收益的产业配套设施、公共服务设施、市政公用设施等项目建设。对符合《天津市政府投资管理条例》规定的特色小镇重点建设项目，纳入市级政府投资计划，与年度预算衔接平衡后统筹安排补助资金。引导金融机构加大中长期贷款投放规模和力度，针对街镇产业平台公共配套设施等各类公共基础设施，用好《关于信贷支持县城城镇化补短板强弱项的通知》（发改规划〔2020〕1278号）等政策。（责任单位：市财政局、市农业农村委、市发展改革委、各区人民政府按职责分工）</w:t>
      </w:r>
    </w:p>
    <w:p>
      <w:pPr>
        <w:pStyle w:val="3"/>
        <w:tabs>
          <w:tab w:val="left" w:pos="7920"/>
        </w:tabs>
        <w:spacing w:line="580" w:lineRule="exact"/>
        <w:ind w:firstLine="640" w:firstLineChars="200"/>
        <w:rPr>
          <w:rFonts w:hint="eastAsia" w:eastAsia="仿宋_GB2312"/>
          <w:szCs w:val="32"/>
        </w:rPr>
      </w:pPr>
      <w:r>
        <w:rPr>
          <w:rFonts w:hint="eastAsia" w:eastAsia="楷体_GB2312" w:cs="楷体_GB2312"/>
          <w:szCs w:val="32"/>
        </w:rPr>
        <w:t>（四）支持示范镇部分区域改造转型建设特色小镇。</w:t>
      </w:r>
      <w:r>
        <w:rPr>
          <w:rFonts w:hint="eastAsia" w:eastAsia="仿宋_GB2312"/>
          <w:szCs w:val="32"/>
        </w:rPr>
        <w:t>在已有示范小城镇中选取一批区位条件比较好、产业基础比较扎实、技术领先、带动力强的区域，改造转型为特色小镇，为示范小城镇注入新发展动力，增加农民就业，促进产业集聚，提升公共服务能力，以局部带动整体健康发展。（责任单位：市发展改革委牵头，各区人民政府具体负责）</w:t>
      </w:r>
    </w:p>
    <w:p>
      <w:pPr>
        <w:pStyle w:val="3"/>
        <w:tabs>
          <w:tab w:val="left" w:pos="7920"/>
        </w:tabs>
        <w:spacing w:line="580" w:lineRule="exact"/>
        <w:ind w:firstLine="640" w:firstLineChars="200"/>
        <w:outlineLvl w:val="0"/>
        <w:rPr>
          <w:rFonts w:hint="eastAsia" w:eastAsia="黑体" w:cs="黑体"/>
          <w:szCs w:val="32"/>
        </w:rPr>
      </w:pPr>
      <w:r>
        <w:rPr>
          <w:rFonts w:hint="eastAsia" w:eastAsia="黑体" w:cs="黑体"/>
          <w:szCs w:val="32"/>
        </w:rPr>
        <w:t>五、组织保障</w:t>
      </w:r>
    </w:p>
    <w:p>
      <w:pPr>
        <w:pStyle w:val="3"/>
        <w:tabs>
          <w:tab w:val="left" w:pos="7920"/>
        </w:tabs>
        <w:spacing w:line="580" w:lineRule="exact"/>
        <w:ind w:firstLine="640" w:firstLineChars="200"/>
        <w:rPr>
          <w:rFonts w:hint="eastAsia" w:eastAsia="仿宋_GB2312"/>
          <w:szCs w:val="32"/>
        </w:rPr>
      </w:pPr>
      <w:r>
        <w:rPr>
          <w:rFonts w:hint="eastAsia" w:eastAsia="楷体_GB2312" w:cs="楷体_GB2312"/>
          <w:szCs w:val="32"/>
        </w:rPr>
        <w:t>（一）强化主体责任。</w:t>
      </w:r>
      <w:r>
        <w:rPr>
          <w:rFonts w:hint="eastAsia" w:eastAsia="仿宋_GB2312"/>
          <w:szCs w:val="32"/>
        </w:rPr>
        <w:t>各区人民政府承担特色小镇建设的主体责任，要精心策划、科学规划、统筹协调、循序推动、严控数量，确保特色小镇建设质量；要定期对照国家和本市要求进行自查，不断完善特色小镇培育和创建工作；加强动态管理和监督，建立特色小镇重点项目台账，指定专人负责台账的制定、整理上报和归档等工作，持续做好特色小镇综合发展水平调查统计工作。</w:t>
      </w:r>
    </w:p>
    <w:p>
      <w:pPr>
        <w:pStyle w:val="3"/>
        <w:tabs>
          <w:tab w:val="left" w:pos="7920"/>
        </w:tabs>
        <w:spacing w:line="580" w:lineRule="exact"/>
        <w:ind w:firstLine="640" w:firstLineChars="200"/>
        <w:rPr>
          <w:rFonts w:hint="eastAsia" w:eastAsia="仿宋_GB2312"/>
          <w:szCs w:val="32"/>
        </w:rPr>
      </w:pPr>
      <w:r>
        <w:rPr>
          <w:rFonts w:hint="eastAsia" w:eastAsia="楷体_GB2312" w:cs="楷体_GB2312"/>
          <w:szCs w:val="32"/>
        </w:rPr>
        <w:t>（二）强化联动保障。</w:t>
      </w:r>
      <w:r>
        <w:rPr>
          <w:rFonts w:hint="eastAsia" w:ascii="仿宋_GB2312" w:hAnsi="仿宋_GB2312" w:eastAsia="仿宋_GB2312" w:cs="仿宋_GB2312"/>
          <w:szCs w:val="32"/>
        </w:rPr>
        <w:t>各</w:t>
      </w:r>
      <w:r>
        <w:rPr>
          <w:rFonts w:hint="eastAsia" w:eastAsia="仿宋_GB2312"/>
          <w:szCs w:val="32"/>
        </w:rPr>
        <w:t>有关部门要加强对特色小镇创建的帮扶指导，积极拓宽政策支持渠道，加大政策支持力度，指定专人负责特色小镇相关政策指导。市级部门、街道办事处（乡镇人民政府）要在联席会议统一部署下加强统筹协调，形成工作合力，着力构建特色小镇培育创建三级联动机制，科学编制特色小镇发展规划，扎实谋划特色小镇创建的具体实施路径，切实保障政策举措落地，全力推动培育创建高质量特色小镇。</w:t>
      </w:r>
    </w:p>
    <w:p>
      <w:pPr>
        <w:pStyle w:val="3"/>
        <w:tabs>
          <w:tab w:val="left" w:pos="7920"/>
        </w:tabs>
        <w:spacing w:line="580" w:lineRule="exact"/>
        <w:ind w:firstLine="640" w:firstLineChars="200"/>
        <w:rPr>
          <w:rFonts w:hint="eastAsia" w:eastAsia="仿宋_GB2312"/>
          <w:szCs w:val="32"/>
        </w:rPr>
      </w:pPr>
      <w:r>
        <w:rPr>
          <w:rFonts w:hint="eastAsia" w:eastAsia="楷体_GB2312" w:cs="楷体_GB2312"/>
          <w:szCs w:val="32"/>
        </w:rPr>
        <w:t>（三）加大宣传引导。</w:t>
      </w:r>
      <w:r>
        <w:rPr>
          <w:rFonts w:hint="eastAsia" w:eastAsia="仿宋_GB2312"/>
          <w:szCs w:val="32"/>
        </w:rPr>
        <w:t>各区各部门要进一步加强宣传引导，加强与新闻媒体的合作，通过网络媒体、公共电子媒体（如地铁广告、商场宣传屏）、电台电视、手机APP等渠道，加大对全市特色小镇的宣传推广力度，扩大本市特色小镇的社会影响，及时报道典型经验做法，强化示范效应，凝聚社会共识，形成客观、公正的舆论导向和社会氛围。</w:t>
      </w:r>
    </w:p>
    <w:p>
      <w:pPr>
        <w:pStyle w:val="3"/>
        <w:tabs>
          <w:tab w:val="left" w:pos="7920"/>
        </w:tabs>
        <w:spacing w:line="580" w:lineRule="exact"/>
        <w:ind w:firstLine="640" w:firstLineChars="200"/>
        <w:rPr>
          <w:rFonts w:hint="eastAsia" w:eastAsia="仿宋_GB2312"/>
          <w:szCs w:val="32"/>
        </w:rPr>
      </w:pPr>
    </w:p>
    <w:p>
      <w:pPr>
        <w:tabs>
          <w:tab w:val="left" w:pos="1418"/>
        </w:tabs>
        <w:spacing w:line="580" w:lineRule="exact"/>
        <w:ind w:right="26" w:firstLine="640" w:firstLineChars="200"/>
        <w:rPr>
          <w:rFonts w:hint="eastAsia" w:eastAsia="仿宋_GB2312"/>
          <w:sz w:val="32"/>
          <w:szCs w:val="32"/>
        </w:rPr>
      </w:pPr>
      <w:r>
        <w:rPr>
          <w:rFonts w:hint="eastAsia" w:eastAsia="仿宋_GB2312"/>
          <w:sz w:val="32"/>
          <w:szCs w:val="32"/>
        </w:rPr>
        <w:t>附件：特色小镇创建标准</w:t>
      </w:r>
    </w:p>
    <w:p>
      <w:pPr>
        <w:tabs>
          <w:tab w:val="left" w:pos="7920"/>
        </w:tabs>
        <w:spacing w:line="520" w:lineRule="exact"/>
        <w:rPr>
          <w:rFonts w:hint="eastAsia" w:eastAsia="黑体" w:cs="黑体"/>
          <w:sz w:val="32"/>
          <w:szCs w:val="32"/>
        </w:rPr>
      </w:pPr>
      <w:r>
        <w:rPr>
          <w:rFonts w:hint="eastAsia" w:eastAsia="黑体" w:cs="黑体"/>
          <w:sz w:val="32"/>
          <w:szCs w:val="32"/>
        </w:rPr>
        <w:t>附件</w:t>
      </w:r>
    </w:p>
    <w:p>
      <w:pPr>
        <w:tabs>
          <w:tab w:val="left" w:pos="7920"/>
        </w:tabs>
        <w:spacing w:line="520" w:lineRule="exact"/>
        <w:ind w:firstLine="720" w:firstLineChars="200"/>
        <w:rPr>
          <w:rFonts w:hint="eastAsia" w:eastAsia="仿宋_GB2312"/>
          <w:sz w:val="36"/>
          <w:szCs w:val="36"/>
        </w:rPr>
      </w:pPr>
    </w:p>
    <w:p>
      <w:pPr>
        <w:tabs>
          <w:tab w:val="left" w:pos="603"/>
          <w:tab w:val="left" w:pos="7638"/>
        </w:tabs>
        <w:snapToGrid w:val="0"/>
        <w:spacing w:line="52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特色小镇创建标准</w:t>
      </w:r>
    </w:p>
    <w:p>
      <w:pPr>
        <w:tabs>
          <w:tab w:val="left" w:pos="7920"/>
        </w:tabs>
        <w:ind w:firstLine="720" w:firstLineChars="200"/>
        <w:rPr>
          <w:rFonts w:hint="eastAsia" w:eastAsia="仿宋_GB2312"/>
          <w:sz w:val="36"/>
          <w:szCs w:val="36"/>
        </w:rPr>
      </w:pPr>
    </w:p>
    <w:p>
      <w:pPr>
        <w:tabs>
          <w:tab w:val="left" w:pos="7920"/>
        </w:tabs>
        <w:ind w:firstLine="640" w:firstLineChars="200"/>
        <w:outlineLvl w:val="0"/>
        <w:rPr>
          <w:rFonts w:hint="eastAsia" w:eastAsia="黑体" w:cs="黑体"/>
          <w:sz w:val="32"/>
          <w:szCs w:val="32"/>
        </w:rPr>
      </w:pPr>
      <w:r>
        <w:rPr>
          <w:rFonts w:hint="eastAsia" w:eastAsia="黑体" w:cs="黑体"/>
          <w:sz w:val="32"/>
          <w:szCs w:val="32"/>
        </w:rPr>
        <w:t>一、特色小镇基础标准</w:t>
      </w:r>
    </w:p>
    <w:tbl>
      <w:tblPr>
        <w:tblStyle w:val="4"/>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390"/>
        <w:gridCol w:w="507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blHeader/>
          <w:jc w:val="center"/>
        </w:trPr>
        <w:tc>
          <w:tcPr>
            <w:tcW w:w="770" w:type="dxa"/>
            <w:noWrap w:val="0"/>
            <w:vAlign w:val="center"/>
          </w:tcPr>
          <w:p>
            <w:pPr>
              <w:snapToGrid w:val="0"/>
              <w:spacing w:line="0" w:lineRule="atLeast"/>
              <w:jc w:val="center"/>
              <w:rPr>
                <w:rFonts w:hint="eastAsia" w:eastAsia="黑体" w:cs="黑体"/>
                <w:sz w:val="32"/>
                <w:szCs w:val="32"/>
              </w:rPr>
            </w:pPr>
            <w:r>
              <w:rPr>
                <w:rFonts w:hint="eastAsia" w:eastAsia="黑体" w:cs="黑体"/>
                <w:sz w:val="32"/>
                <w:szCs w:val="32"/>
              </w:rPr>
              <w:t>序号</w:t>
            </w:r>
          </w:p>
        </w:tc>
        <w:tc>
          <w:tcPr>
            <w:tcW w:w="1390" w:type="dxa"/>
            <w:noWrap w:val="0"/>
            <w:vAlign w:val="center"/>
          </w:tcPr>
          <w:p>
            <w:pPr>
              <w:snapToGrid w:val="0"/>
              <w:spacing w:line="0" w:lineRule="atLeast"/>
              <w:jc w:val="center"/>
              <w:rPr>
                <w:rFonts w:hint="eastAsia" w:eastAsia="黑体" w:cs="黑体"/>
                <w:sz w:val="32"/>
                <w:szCs w:val="32"/>
              </w:rPr>
            </w:pPr>
            <w:r>
              <w:rPr>
                <w:rFonts w:hint="eastAsia" w:eastAsia="黑体" w:cs="黑体"/>
                <w:sz w:val="32"/>
                <w:szCs w:val="32"/>
              </w:rPr>
              <w:t>标准分类</w:t>
            </w:r>
          </w:p>
        </w:tc>
        <w:tc>
          <w:tcPr>
            <w:tcW w:w="5070" w:type="dxa"/>
            <w:noWrap w:val="0"/>
            <w:vAlign w:val="center"/>
          </w:tcPr>
          <w:p>
            <w:pPr>
              <w:snapToGrid w:val="0"/>
              <w:spacing w:line="0" w:lineRule="atLeast"/>
              <w:jc w:val="center"/>
              <w:rPr>
                <w:rFonts w:hint="eastAsia" w:eastAsia="黑体" w:cs="黑体"/>
                <w:sz w:val="32"/>
                <w:szCs w:val="32"/>
              </w:rPr>
            </w:pPr>
            <w:r>
              <w:rPr>
                <w:rFonts w:hint="eastAsia" w:eastAsia="黑体" w:cs="黑体"/>
                <w:sz w:val="32"/>
                <w:szCs w:val="32"/>
              </w:rPr>
              <w:t>标准描述</w:t>
            </w:r>
          </w:p>
        </w:tc>
        <w:tc>
          <w:tcPr>
            <w:tcW w:w="2760" w:type="dxa"/>
            <w:noWrap w:val="0"/>
            <w:vAlign w:val="center"/>
          </w:tcPr>
          <w:p>
            <w:pPr>
              <w:snapToGrid w:val="0"/>
              <w:spacing w:line="0" w:lineRule="atLeast"/>
              <w:jc w:val="center"/>
              <w:rPr>
                <w:rFonts w:hint="eastAsia" w:eastAsia="黑体" w:cs="黑体"/>
                <w:sz w:val="32"/>
                <w:szCs w:val="32"/>
              </w:rPr>
            </w:pPr>
            <w:r>
              <w:rPr>
                <w:rFonts w:hint="eastAsia" w:eastAsia="黑体" w:cs="黑体"/>
                <w:sz w:val="32"/>
                <w:szCs w:val="3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70" w:type="dxa"/>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1</w:t>
            </w:r>
          </w:p>
        </w:tc>
        <w:tc>
          <w:tcPr>
            <w:tcW w:w="1390" w:type="dxa"/>
            <w:vMerge w:val="restart"/>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区位布局</w:t>
            </w:r>
          </w:p>
        </w:tc>
        <w:tc>
          <w:tcPr>
            <w:tcW w:w="507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特色小镇应遵循经济规律、城镇化规律和城乡融合发展趋势，立足不同区镇经济发展阶段和客观实际，实事求是、量力而行，以优化原有产业集聚区为主、以培育新兴区域为辅，优先围绕“津城”、“滨城”及周边区位、京津冀协同发展重大国家战略优势区位进行培育发展，同时兼顾其他有条件区域。</w:t>
            </w:r>
          </w:p>
        </w:tc>
        <w:tc>
          <w:tcPr>
            <w:tcW w:w="276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指导单位：市发展改革委、市规划资源局</w:t>
            </w:r>
          </w:p>
          <w:p>
            <w:pPr>
              <w:spacing w:line="0" w:lineRule="atLeast"/>
              <w:rPr>
                <w:rFonts w:hint="eastAsia" w:eastAsia="仿宋_GB2312" w:cs="仿宋_GB2312"/>
                <w:sz w:val="32"/>
                <w:szCs w:val="32"/>
              </w:rPr>
            </w:pPr>
            <w:r>
              <w:rPr>
                <w:rFonts w:hint="eastAsia" w:eastAsia="仿宋_GB2312" w:cs="仿宋_GB2312"/>
                <w:sz w:val="32"/>
                <w:szCs w:val="32"/>
              </w:rPr>
              <w:t>责任单位：各区人民政府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70" w:type="dxa"/>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2</w:t>
            </w:r>
          </w:p>
        </w:tc>
        <w:tc>
          <w:tcPr>
            <w:tcW w:w="1390" w:type="dxa"/>
            <w:vMerge w:val="continue"/>
            <w:noWrap w:val="0"/>
            <w:vAlign w:val="center"/>
          </w:tcPr>
          <w:p>
            <w:pPr>
              <w:snapToGrid w:val="0"/>
              <w:spacing w:line="0" w:lineRule="atLeast"/>
              <w:jc w:val="center"/>
              <w:rPr>
                <w:rFonts w:hint="eastAsia" w:eastAsia="仿宋_GB2312" w:cs="仿宋_GB2312"/>
                <w:sz w:val="32"/>
                <w:szCs w:val="32"/>
              </w:rPr>
            </w:pPr>
          </w:p>
        </w:tc>
        <w:tc>
          <w:tcPr>
            <w:tcW w:w="507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鼓励在东丽区、西青区、津南区、北辰区等商务成本低、发展空间充裕、生态环境良好、城市功能较为成熟的区域，围绕新动能引育、创新创业，打造环境舒适、产业高端、功能集聚、设施齐备、经济发达的高端新动能特色小镇。</w:t>
            </w:r>
          </w:p>
        </w:tc>
        <w:tc>
          <w:tcPr>
            <w:tcW w:w="276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指导单位：市发展改革委、市规划资源局</w:t>
            </w:r>
          </w:p>
          <w:p>
            <w:pPr>
              <w:spacing w:line="0" w:lineRule="atLeast"/>
              <w:rPr>
                <w:rFonts w:hint="eastAsia" w:eastAsia="仿宋_GB2312" w:cs="仿宋_GB2312"/>
                <w:sz w:val="32"/>
                <w:szCs w:val="32"/>
              </w:rPr>
            </w:pPr>
            <w:r>
              <w:rPr>
                <w:rFonts w:hint="eastAsia" w:eastAsia="仿宋_GB2312" w:cs="仿宋_GB2312"/>
                <w:sz w:val="32"/>
                <w:szCs w:val="32"/>
              </w:rPr>
              <w:t>责任单位：东丽区人民政府、西青区人民政府、津南区人民政府、北辰区人民政府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70" w:type="dxa"/>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3</w:t>
            </w:r>
          </w:p>
        </w:tc>
        <w:tc>
          <w:tcPr>
            <w:tcW w:w="1390" w:type="dxa"/>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空间范围</w:t>
            </w:r>
          </w:p>
        </w:tc>
        <w:tc>
          <w:tcPr>
            <w:tcW w:w="5070" w:type="dxa"/>
            <w:noWrap w:val="0"/>
            <w:vAlign w:val="center"/>
          </w:tcPr>
          <w:p>
            <w:pPr>
              <w:spacing w:line="0" w:lineRule="atLeast"/>
              <w:rPr>
                <w:rFonts w:eastAsia="仿宋_GB2312" w:cs="仿宋_GB2312"/>
                <w:sz w:val="32"/>
                <w:szCs w:val="32"/>
              </w:rPr>
            </w:pPr>
            <w:r>
              <w:rPr>
                <w:rFonts w:hint="eastAsia" w:eastAsia="仿宋_GB2312" w:cs="仿宋_GB2312"/>
                <w:sz w:val="32"/>
                <w:szCs w:val="32"/>
              </w:rPr>
              <w:t>特色小镇应边界清晰、集中连片、空间相对独立、四至范围精确，生产生活生态空间保持合理比例。推进生产生活生态“三生融合”、产业社区文化旅游“四位一体”，打造优质服务圈和繁荣商业圈。叠加旅游功能，促进产业与旅游相结合，寓景观于产业场景，实现实用功能和审美功能的统一。</w:t>
            </w:r>
          </w:p>
        </w:tc>
        <w:tc>
          <w:tcPr>
            <w:tcW w:w="276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指导单位：市发展改革委、市规划资源局</w:t>
            </w:r>
          </w:p>
          <w:p>
            <w:pPr>
              <w:spacing w:line="0" w:lineRule="atLeast"/>
              <w:rPr>
                <w:rFonts w:hint="eastAsia" w:eastAsia="仿宋_GB2312" w:cs="仿宋_GB2312"/>
                <w:sz w:val="32"/>
                <w:szCs w:val="32"/>
              </w:rPr>
            </w:pPr>
            <w:r>
              <w:rPr>
                <w:rFonts w:hint="eastAsia" w:eastAsia="仿宋_GB2312" w:cs="仿宋_GB2312"/>
                <w:sz w:val="32"/>
                <w:szCs w:val="32"/>
              </w:rPr>
              <w:t>责任单位：各区人民政府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8" w:hRule="atLeast"/>
          <w:jc w:val="center"/>
        </w:trPr>
        <w:tc>
          <w:tcPr>
            <w:tcW w:w="770" w:type="dxa"/>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4</w:t>
            </w:r>
          </w:p>
        </w:tc>
        <w:tc>
          <w:tcPr>
            <w:tcW w:w="1390" w:type="dxa"/>
            <w:vMerge w:val="restart"/>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空间范围</w:t>
            </w:r>
          </w:p>
        </w:tc>
        <w:tc>
          <w:tcPr>
            <w:tcW w:w="507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单个特色小镇规划面积一般控制在1至5平方公里，其中建设用地面积原则上不少于0.5平方公里（文化旅游、体育、农业田园类特色小镇规划面积上限可适当提高）。</w:t>
            </w:r>
          </w:p>
        </w:tc>
        <w:tc>
          <w:tcPr>
            <w:tcW w:w="2760" w:type="dxa"/>
            <w:vMerge w:val="restart"/>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指导单位：市发展改革委、市规划资源局</w:t>
            </w:r>
          </w:p>
          <w:p>
            <w:pPr>
              <w:spacing w:line="0" w:lineRule="atLeast"/>
              <w:rPr>
                <w:rFonts w:hint="eastAsia" w:eastAsia="仿宋_GB2312" w:cs="仿宋_GB2312"/>
                <w:sz w:val="32"/>
                <w:szCs w:val="32"/>
              </w:rPr>
            </w:pPr>
            <w:r>
              <w:rPr>
                <w:rFonts w:hint="eastAsia" w:eastAsia="仿宋_GB2312" w:cs="仿宋_GB2312"/>
                <w:sz w:val="32"/>
                <w:szCs w:val="32"/>
              </w:rPr>
              <w:t>责任单位：各区人民政府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9" w:hRule="atLeast"/>
          <w:jc w:val="center"/>
        </w:trPr>
        <w:tc>
          <w:tcPr>
            <w:tcW w:w="770" w:type="dxa"/>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5</w:t>
            </w:r>
          </w:p>
        </w:tc>
        <w:tc>
          <w:tcPr>
            <w:tcW w:w="1390" w:type="dxa"/>
            <w:vMerge w:val="continue"/>
            <w:noWrap w:val="0"/>
            <w:vAlign w:val="center"/>
          </w:tcPr>
          <w:p>
            <w:pPr>
              <w:snapToGrid w:val="0"/>
              <w:spacing w:line="0" w:lineRule="atLeast"/>
              <w:jc w:val="center"/>
              <w:rPr>
                <w:rFonts w:hint="eastAsia" w:eastAsia="仿宋_GB2312" w:cs="仿宋_GB2312"/>
                <w:sz w:val="32"/>
                <w:szCs w:val="32"/>
              </w:rPr>
            </w:pPr>
          </w:p>
        </w:tc>
        <w:tc>
          <w:tcPr>
            <w:tcW w:w="507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不得将行政建制镇、传统产业园区和房地产项目命名为特色小镇。鼓励盘活存量和低效建设用地，强化老旧厂区和老旧街区等存量片区改造。</w:t>
            </w:r>
          </w:p>
        </w:tc>
        <w:tc>
          <w:tcPr>
            <w:tcW w:w="2760" w:type="dxa"/>
            <w:vMerge w:val="continue"/>
            <w:noWrap w:val="0"/>
            <w:vAlign w:val="center"/>
          </w:tcPr>
          <w:p>
            <w:pPr>
              <w:spacing w:line="0" w:lineRule="atLeast"/>
              <w:rPr>
                <w:rFonts w:hint="eastAsia"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atLeast"/>
          <w:jc w:val="center"/>
        </w:trPr>
        <w:tc>
          <w:tcPr>
            <w:tcW w:w="770" w:type="dxa"/>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6</w:t>
            </w:r>
          </w:p>
        </w:tc>
        <w:tc>
          <w:tcPr>
            <w:tcW w:w="1390" w:type="dxa"/>
            <w:vMerge w:val="restart"/>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特色产业</w:t>
            </w:r>
          </w:p>
        </w:tc>
        <w:tc>
          <w:tcPr>
            <w:tcW w:w="5070" w:type="dxa"/>
            <w:noWrap w:val="0"/>
            <w:vAlign w:val="center"/>
          </w:tcPr>
          <w:p>
            <w:pPr>
              <w:spacing w:line="0" w:lineRule="atLeast"/>
              <w:rPr>
                <w:rFonts w:eastAsia="仿宋_GB2312" w:cs="仿宋_GB2312"/>
                <w:sz w:val="32"/>
                <w:szCs w:val="32"/>
              </w:rPr>
            </w:pPr>
            <w:r>
              <w:rPr>
                <w:rFonts w:hint="eastAsia" w:eastAsia="仿宋_GB2312" w:cs="仿宋_GB2312"/>
                <w:sz w:val="32"/>
                <w:szCs w:val="32"/>
              </w:rPr>
              <w:t>聚焦行业细分门类，选择本区域内最有基础、最具潜力的一个门类作为特色产业，做精做强产业集群，打造行业单项冠军。先进制造、科技创新、创意设计、数字经济类特色小镇研发经费投入强度原则上不低于2.5%。</w:t>
            </w:r>
          </w:p>
        </w:tc>
        <w:tc>
          <w:tcPr>
            <w:tcW w:w="2760" w:type="dxa"/>
            <w:vMerge w:val="restart"/>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指导单位：市发展改革委牵头，市级有关部门分类指导</w:t>
            </w:r>
          </w:p>
          <w:p>
            <w:pPr>
              <w:spacing w:line="0" w:lineRule="atLeast"/>
              <w:rPr>
                <w:rFonts w:hint="eastAsia" w:eastAsia="仿宋_GB2312" w:cs="仿宋_GB2312"/>
                <w:sz w:val="32"/>
                <w:szCs w:val="32"/>
              </w:rPr>
            </w:pPr>
            <w:r>
              <w:rPr>
                <w:rFonts w:hint="eastAsia" w:eastAsia="仿宋_GB2312" w:cs="仿宋_GB2312"/>
                <w:sz w:val="32"/>
                <w:szCs w:val="32"/>
              </w:rPr>
              <w:t>责任单位：各区人民政府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6" w:hRule="atLeast"/>
          <w:jc w:val="center"/>
        </w:trPr>
        <w:tc>
          <w:tcPr>
            <w:tcW w:w="770" w:type="dxa"/>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7</w:t>
            </w:r>
          </w:p>
        </w:tc>
        <w:tc>
          <w:tcPr>
            <w:tcW w:w="1390" w:type="dxa"/>
            <w:vMerge w:val="continue"/>
            <w:noWrap w:val="0"/>
            <w:vAlign w:val="center"/>
          </w:tcPr>
          <w:p>
            <w:pPr>
              <w:snapToGrid w:val="0"/>
              <w:spacing w:line="0" w:lineRule="atLeast"/>
              <w:jc w:val="center"/>
              <w:rPr>
                <w:rFonts w:hint="eastAsia" w:eastAsia="仿宋_GB2312" w:cs="仿宋_GB2312"/>
                <w:sz w:val="32"/>
                <w:szCs w:val="32"/>
              </w:rPr>
            </w:pPr>
          </w:p>
        </w:tc>
        <w:tc>
          <w:tcPr>
            <w:tcW w:w="5070" w:type="dxa"/>
            <w:noWrap w:val="0"/>
            <w:vAlign w:val="center"/>
          </w:tcPr>
          <w:p>
            <w:pPr>
              <w:spacing w:line="0" w:lineRule="atLeast"/>
              <w:rPr>
                <w:rFonts w:eastAsia="仿宋_GB2312" w:cs="仿宋_GB2312"/>
                <w:sz w:val="32"/>
                <w:szCs w:val="32"/>
              </w:rPr>
            </w:pPr>
            <w:r>
              <w:rPr>
                <w:rFonts w:hint="eastAsia" w:eastAsia="仿宋_GB2312" w:cs="仿宋_GB2312"/>
                <w:sz w:val="32"/>
                <w:szCs w:val="32"/>
              </w:rPr>
              <w:t>特色产业投资占总投资比例原则上不低于60%。文化旅游类特色小镇接待游客人数原则上不少于50万人次/年。培育新产业新业态新商业模式，“三新”经济增加值占生产总值比重原则上不低于20%。</w:t>
            </w:r>
          </w:p>
        </w:tc>
        <w:tc>
          <w:tcPr>
            <w:tcW w:w="2760" w:type="dxa"/>
            <w:vMerge w:val="continue"/>
            <w:noWrap w:val="0"/>
            <w:vAlign w:val="center"/>
          </w:tcPr>
          <w:p>
            <w:pPr>
              <w:spacing w:line="0" w:lineRule="atLeast"/>
              <w:rPr>
                <w:rFonts w:hint="eastAsia"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9" w:hRule="atLeast"/>
          <w:jc w:val="center"/>
        </w:trPr>
        <w:tc>
          <w:tcPr>
            <w:tcW w:w="770" w:type="dxa"/>
            <w:noWrap w:val="0"/>
            <w:vAlign w:val="center"/>
          </w:tcPr>
          <w:p>
            <w:pPr>
              <w:snapToGrid w:val="0"/>
              <w:spacing w:line="0" w:lineRule="atLeast"/>
              <w:jc w:val="center"/>
              <w:rPr>
                <w:rFonts w:eastAsia="仿宋_GB2312" w:cs="仿宋_GB2312"/>
                <w:sz w:val="32"/>
                <w:szCs w:val="32"/>
              </w:rPr>
            </w:pPr>
            <w:r>
              <w:rPr>
                <w:rFonts w:hint="eastAsia" w:eastAsia="仿宋_GB2312" w:cs="仿宋_GB2312"/>
                <w:sz w:val="32"/>
                <w:szCs w:val="32"/>
              </w:rPr>
              <w:t>8</w:t>
            </w:r>
          </w:p>
        </w:tc>
        <w:tc>
          <w:tcPr>
            <w:tcW w:w="1390" w:type="dxa"/>
            <w:vMerge w:val="continue"/>
            <w:noWrap w:val="0"/>
            <w:vAlign w:val="center"/>
          </w:tcPr>
          <w:p>
            <w:pPr>
              <w:snapToGrid w:val="0"/>
              <w:spacing w:line="0" w:lineRule="atLeast"/>
              <w:jc w:val="center"/>
              <w:rPr>
                <w:rFonts w:hint="eastAsia" w:eastAsia="仿宋_GB2312" w:cs="仿宋_GB2312"/>
                <w:sz w:val="32"/>
                <w:szCs w:val="32"/>
              </w:rPr>
            </w:pPr>
          </w:p>
        </w:tc>
        <w:tc>
          <w:tcPr>
            <w:tcW w:w="5070" w:type="dxa"/>
            <w:noWrap w:val="0"/>
            <w:vAlign w:val="center"/>
          </w:tcPr>
          <w:p>
            <w:pPr>
              <w:spacing w:line="0" w:lineRule="atLeast"/>
              <w:rPr>
                <w:rFonts w:eastAsia="仿宋_GB2312" w:cs="仿宋_GB2312"/>
                <w:sz w:val="32"/>
                <w:szCs w:val="32"/>
              </w:rPr>
            </w:pPr>
            <w:r>
              <w:rPr>
                <w:rFonts w:hint="eastAsia" w:eastAsia="仿宋_GB2312" w:cs="仿宋_GB2312"/>
                <w:sz w:val="32"/>
                <w:szCs w:val="32"/>
              </w:rPr>
              <w:t>聚焦高端产业和产业高端环节，提升产业价值链和产品附加值，全员劳动生产率原则上不低于20万元/人，单个特色小镇吸纳就业人数原则上不少于2000人。建设用地亩均缴纳税收额原则上不低于10万元/年。</w:t>
            </w:r>
          </w:p>
        </w:tc>
        <w:tc>
          <w:tcPr>
            <w:tcW w:w="2760" w:type="dxa"/>
            <w:vMerge w:val="continue"/>
            <w:noWrap w:val="0"/>
            <w:vAlign w:val="center"/>
          </w:tcPr>
          <w:p>
            <w:pPr>
              <w:spacing w:line="0" w:lineRule="atLeast"/>
              <w:rPr>
                <w:rFonts w:hint="eastAsia"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0" w:type="dxa"/>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9</w:t>
            </w:r>
          </w:p>
        </w:tc>
        <w:tc>
          <w:tcPr>
            <w:tcW w:w="1390" w:type="dxa"/>
            <w:vMerge w:val="restart"/>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多元功能</w:t>
            </w:r>
          </w:p>
        </w:tc>
        <w:tc>
          <w:tcPr>
            <w:tcW w:w="507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按照既能满足产业建设发展又能满足居民物质和精神生活原则，打造多元功能集聚、宜居宜业宜游的新型空间。</w:t>
            </w:r>
          </w:p>
        </w:tc>
        <w:tc>
          <w:tcPr>
            <w:tcW w:w="2760" w:type="dxa"/>
            <w:vMerge w:val="restart"/>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指导单位：市发展改革委、市规划资源局、市住房城乡建设委</w:t>
            </w:r>
          </w:p>
          <w:p>
            <w:pPr>
              <w:spacing w:line="0" w:lineRule="atLeast"/>
              <w:rPr>
                <w:rFonts w:hint="eastAsia" w:eastAsia="仿宋_GB2312" w:cs="仿宋_GB2312"/>
                <w:sz w:val="32"/>
                <w:szCs w:val="32"/>
              </w:rPr>
            </w:pPr>
            <w:r>
              <w:rPr>
                <w:rFonts w:hint="eastAsia" w:eastAsia="仿宋_GB2312" w:cs="仿宋_GB2312"/>
                <w:sz w:val="32"/>
                <w:szCs w:val="32"/>
              </w:rPr>
              <w:t>责任单位：各区人民政府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0" w:type="dxa"/>
            <w:noWrap w:val="0"/>
            <w:vAlign w:val="center"/>
          </w:tcPr>
          <w:p>
            <w:pPr>
              <w:snapToGrid w:val="0"/>
              <w:spacing w:line="0" w:lineRule="atLeast"/>
              <w:jc w:val="center"/>
              <w:rPr>
                <w:rFonts w:eastAsia="仿宋_GB2312" w:cs="仿宋_GB2312"/>
                <w:sz w:val="32"/>
                <w:szCs w:val="32"/>
              </w:rPr>
            </w:pPr>
            <w:r>
              <w:rPr>
                <w:rFonts w:hint="eastAsia" w:eastAsia="仿宋_GB2312" w:cs="仿宋_GB2312"/>
                <w:sz w:val="32"/>
                <w:szCs w:val="32"/>
              </w:rPr>
              <w:t>10</w:t>
            </w:r>
          </w:p>
        </w:tc>
        <w:tc>
          <w:tcPr>
            <w:tcW w:w="1390" w:type="dxa"/>
            <w:vMerge w:val="continue"/>
            <w:noWrap w:val="0"/>
            <w:vAlign w:val="center"/>
          </w:tcPr>
          <w:p>
            <w:pPr>
              <w:snapToGrid w:val="0"/>
              <w:spacing w:line="0" w:lineRule="atLeast"/>
              <w:jc w:val="center"/>
              <w:rPr>
                <w:rFonts w:hint="eastAsia" w:eastAsia="仿宋_GB2312" w:cs="仿宋_GB2312"/>
                <w:sz w:val="32"/>
                <w:szCs w:val="32"/>
              </w:rPr>
            </w:pPr>
          </w:p>
        </w:tc>
        <w:tc>
          <w:tcPr>
            <w:tcW w:w="507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结合自身区位、交通、生态、人文、产业基础等特点，叠加现代社区、文化、旅游等功能，注重改善衣食住行、教育、医疗、养老相关生活服务设施，打造省心</w:t>
            </w:r>
            <w:r>
              <w:rPr>
                <w:rFonts w:hint="eastAsia" w:eastAsia="仿宋_GB2312" w:cs="仿宋_GB2312"/>
                <w:spacing w:val="-11"/>
                <w:sz w:val="32"/>
                <w:szCs w:val="32"/>
              </w:rPr>
              <w:t>、省力、省时的15分钟便捷生活服务圈。</w:t>
            </w:r>
          </w:p>
        </w:tc>
        <w:tc>
          <w:tcPr>
            <w:tcW w:w="2760" w:type="dxa"/>
            <w:vMerge w:val="continue"/>
            <w:noWrap w:val="0"/>
            <w:vAlign w:val="center"/>
          </w:tcPr>
          <w:p>
            <w:pPr>
              <w:spacing w:line="0" w:lineRule="atLeast"/>
              <w:rPr>
                <w:rFonts w:hint="eastAsia"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0" w:type="dxa"/>
            <w:noWrap w:val="0"/>
            <w:vAlign w:val="center"/>
          </w:tcPr>
          <w:p>
            <w:pPr>
              <w:spacing w:line="0" w:lineRule="atLeast"/>
              <w:jc w:val="center"/>
              <w:rPr>
                <w:rFonts w:hint="eastAsia" w:eastAsia="仿宋_GB2312" w:cs="仿宋_GB2312"/>
                <w:sz w:val="32"/>
                <w:szCs w:val="32"/>
              </w:rPr>
            </w:pPr>
            <w:r>
              <w:rPr>
                <w:rFonts w:hint="eastAsia" w:eastAsia="仿宋_GB2312" w:cs="仿宋_GB2312"/>
                <w:sz w:val="32"/>
                <w:szCs w:val="32"/>
              </w:rPr>
              <w:t>11</w:t>
            </w:r>
          </w:p>
        </w:tc>
        <w:tc>
          <w:tcPr>
            <w:tcW w:w="139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特色风貌</w:t>
            </w:r>
          </w:p>
        </w:tc>
        <w:tc>
          <w:tcPr>
            <w:tcW w:w="507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注重传承历史文脉特色，深挖工业文化、地域文化，形成相互融合相互促进的关系。注重生态环境保护，强调空间形态和风貌管控，尊重原有自然格局，体现地形地貌等地域特征，强化建筑抗震、节能等性能提升及风貌特色，形成一镇一韵、一镇一品、一镇一特色。绿化覆盖率原则上不低于30%。</w:t>
            </w:r>
          </w:p>
        </w:tc>
        <w:tc>
          <w:tcPr>
            <w:tcW w:w="276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指导单位：市发展改革委、市规划资源局、市住房城乡建设委、市生态环境局、市文化和旅游局</w:t>
            </w:r>
          </w:p>
          <w:p>
            <w:pPr>
              <w:spacing w:line="0" w:lineRule="atLeast"/>
              <w:rPr>
                <w:rFonts w:hint="eastAsia" w:eastAsia="仿宋_GB2312" w:cs="仿宋_GB2312"/>
                <w:sz w:val="32"/>
                <w:szCs w:val="32"/>
              </w:rPr>
            </w:pPr>
            <w:r>
              <w:rPr>
                <w:rFonts w:hint="eastAsia" w:eastAsia="仿宋_GB2312" w:cs="仿宋_GB2312"/>
                <w:sz w:val="32"/>
                <w:szCs w:val="32"/>
              </w:rPr>
              <w:t>责任单位：各区人民政府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0" w:type="dxa"/>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12</w:t>
            </w:r>
          </w:p>
        </w:tc>
        <w:tc>
          <w:tcPr>
            <w:tcW w:w="1390" w:type="dxa"/>
            <w:vMerge w:val="restart"/>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投入方式</w:t>
            </w:r>
          </w:p>
        </w:tc>
        <w:tc>
          <w:tcPr>
            <w:tcW w:w="507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以企业投入为主，优先引入有条件有经验的大中型企业独立或牵头发展特色小镇，实行全生命周期的投资建设运营管理，探索可持续的投融资模式和盈利模式，带动中小微企业联动发展。在此过程中，注重培育一批特色小镇投资运营优质企业。</w:t>
            </w:r>
          </w:p>
        </w:tc>
        <w:tc>
          <w:tcPr>
            <w:tcW w:w="2760" w:type="dxa"/>
            <w:vMerge w:val="restart"/>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指导单位：市发展改革委、市财政局</w:t>
            </w:r>
          </w:p>
          <w:p>
            <w:pPr>
              <w:spacing w:line="0" w:lineRule="atLeast"/>
              <w:rPr>
                <w:rFonts w:hint="eastAsia" w:eastAsia="仿宋_GB2312" w:cs="仿宋_GB2312"/>
                <w:sz w:val="32"/>
                <w:szCs w:val="32"/>
              </w:rPr>
            </w:pPr>
            <w:r>
              <w:rPr>
                <w:rFonts w:hint="eastAsia" w:eastAsia="仿宋_GB2312" w:cs="仿宋_GB2312"/>
                <w:sz w:val="32"/>
                <w:szCs w:val="32"/>
              </w:rPr>
              <w:t>责任单位：各区人民政府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0" w:type="dxa"/>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13</w:t>
            </w:r>
          </w:p>
        </w:tc>
        <w:tc>
          <w:tcPr>
            <w:tcW w:w="1390" w:type="dxa"/>
            <w:vMerge w:val="continue"/>
            <w:noWrap w:val="0"/>
            <w:vAlign w:val="center"/>
          </w:tcPr>
          <w:p>
            <w:pPr>
              <w:snapToGrid w:val="0"/>
              <w:spacing w:line="0" w:lineRule="atLeast"/>
              <w:jc w:val="center"/>
              <w:rPr>
                <w:rFonts w:hint="eastAsia" w:eastAsia="仿宋_GB2312" w:cs="仿宋_GB2312"/>
                <w:sz w:val="32"/>
                <w:szCs w:val="32"/>
              </w:rPr>
            </w:pPr>
          </w:p>
        </w:tc>
        <w:tc>
          <w:tcPr>
            <w:tcW w:w="507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建立以工商资本及金融资本为主、以政府有效精准投资为辅的投融资模式。防止出现先建小镇、后引入产业的情况。</w:t>
            </w:r>
          </w:p>
        </w:tc>
        <w:tc>
          <w:tcPr>
            <w:tcW w:w="2760" w:type="dxa"/>
            <w:vMerge w:val="continue"/>
            <w:noWrap w:val="0"/>
            <w:vAlign w:val="center"/>
          </w:tcPr>
          <w:p>
            <w:pPr>
              <w:spacing w:line="0" w:lineRule="atLeast"/>
              <w:rPr>
                <w:rFonts w:hint="eastAsia"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0" w:type="dxa"/>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14</w:t>
            </w:r>
          </w:p>
        </w:tc>
        <w:tc>
          <w:tcPr>
            <w:tcW w:w="1390" w:type="dxa"/>
            <w:vMerge w:val="continue"/>
            <w:noWrap w:val="0"/>
            <w:vAlign w:val="center"/>
          </w:tcPr>
          <w:p>
            <w:pPr>
              <w:snapToGrid w:val="0"/>
              <w:spacing w:line="0" w:lineRule="atLeast"/>
              <w:jc w:val="center"/>
              <w:rPr>
                <w:rFonts w:hint="eastAsia" w:eastAsia="仿宋_GB2312" w:cs="仿宋_GB2312"/>
                <w:sz w:val="32"/>
                <w:szCs w:val="32"/>
              </w:rPr>
            </w:pPr>
          </w:p>
        </w:tc>
        <w:tc>
          <w:tcPr>
            <w:tcW w:w="507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依法合规建立多元主体参与的投资运营模式。</w:t>
            </w:r>
          </w:p>
        </w:tc>
        <w:tc>
          <w:tcPr>
            <w:tcW w:w="2760" w:type="dxa"/>
            <w:vMerge w:val="continue"/>
            <w:noWrap w:val="0"/>
            <w:vAlign w:val="center"/>
          </w:tcPr>
          <w:p>
            <w:pPr>
              <w:spacing w:line="0" w:lineRule="atLeast"/>
              <w:rPr>
                <w:rFonts w:hint="eastAsia"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0" w:type="dxa"/>
            <w:noWrap w:val="0"/>
            <w:vAlign w:val="center"/>
          </w:tcPr>
          <w:p>
            <w:pPr>
              <w:snapToGrid w:val="0"/>
              <w:spacing w:line="0" w:lineRule="atLeast"/>
              <w:jc w:val="center"/>
              <w:rPr>
                <w:rFonts w:eastAsia="仿宋_GB2312" w:cs="仿宋_GB2312"/>
                <w:sz w:val="32"/>
                <w:szCs w:val="32"/>
              </w:rPr>
            </w:pPr>
            <w:r>
              <w:rPr>
                <w:rFonts w:hint="eastAsia" w:eastAsia="仿宋_GB2312" w:cs="仿宋_GB2312"/>
                <w:sz w:val="32"/>
                <w:szCs w:val="32"/>
              </w:rPr>
              <w:t>15</w:t>
            </w:r>
          </w:p>
        </w:tc>
        <w:tc>
          <w:tcPr>
            <w:tcW w:w="1390" w:type="dxa"/>
            <w:vMerge w:val="continue"/>
            <w:noWrap w:val="0"/>
            <w:vAlign w:val="center"/>
          </w:tcPr>
          <w:p>
            <w:pPr>
              <w:snapToGrid w:val="0"/>
              <w:spacing w:line="0" w:lineRule="atLeast"/>
              <w:jc w:val="center"/>
              <w:rPr>
                <w:rFonts w:hint="eastAsia" w:eastAsia="仿宋_GB2312" w:cs="仿宋_GB2312"/>
                <w:sz w:val="32"/>
                <w:szCs w:val="32"/>
              </w:rPr>
            </w:pPr>
          </w:p>
        </w:tc>
        <w:tc>
          <w:tcPr>
            <w:tcW w:w="5070" w:type="dxa"/>
            <w:noWrap w:val="0"/>
            <w:vAlign w:val="center"/>
          </w:tcPr>
          <w:p>
            <w:pPr>
              <w:spacing w:line="0" w:lineRule="atLeast"/>
              <w:rPr>
                <w:rFonts w:eastAsia="仿宋_GB2312" w:cs="仿宋_GB2312"/>
                <w:sz w:val="32"/>
                <w:szCs w:val="32"/>
              </w:rPr>
            </w:pPr>
            <w:r>
              <w:rPr>
                <w:rFonts w:hint="eastAsia" w:eastAsia="仿宋_GB2312" w:cs="仿宋_GB2312"/>
                <w:sz w:val="32"/>
                <w:szCs w:val="32"/>
                <w:lang w:val="en"/>
              </w:rPr>
              <w:t>确保投资具备一定强度，建设期内建设用地亩均累计投资额原则上不低于</w:t>
            </w:r>
            <w:r>
              <w:rPr>
                <w:rFonts w:hint="eastAsia" w:eastAsia="仿宋_GB2312" w:cs="仿宋_GB2312"/>
                <w:sz w:val="32"/>
                <w:szCs w:val="32"/>
              </w:rPr>
              <w:t>200万元/亩。</w:t>
            </w:r>
          </w:p>
        </w:tc>
        <w:tc>
          <w:tcPr>
            <w:tcW w:w="2760" w:type="dxa"/>
            <w:vMerge w:val="continue"/>
            <w:noWrap w:val="0"/>
            <w:vAlign w:val="center"/>
          </w:tcPr>
          <w:p>
            <w:pPr>
              <w:spacing w:line="0" w:lineRule="atLeast"/>
              <w:rPr>
                <w:rFonts w:hint="eastAsia"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70" w:type="dxa"/>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16</w:t>
            </w:r>
          </w:p>
        </w:tc>
        <w:tc>
          <w:tcPr>
            <w:tcW w:w="1390" w:type="dxa"/>
            <w:vMerge w:val="restart"/>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底线要求</w:t>
            </w:r>
          </w:p>
        </w:tc>
        <w:tc>
          <w:tcPr>
            <w:tcW w:w="507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严守生态保护红线、永久基本农田、城镇开发边界三条控制线，严禁违规占用耕地，涉及征收集体土地的严禁以“预征地”方式实施。</w:t>
            </w:r>
          </w:p>
        </w:tc>
        <w:tc>
          <w:tcPr>
            <w:tcW w:w="2760" w:type="dxa"/>
            <w:vMerge w:val="restart"/>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指导单位：市发展改革委、市财政局</w:t>
            </w:r>
          </w:p>
          <w:p>
            <w:pPr>
              <w:spacing w:line="0" w:lineRule="atLeast"/>
              <w:rPr>
                <w:rFonts w:hint="eastAsia" w:eastAsia="仿宋_GB2312" w:cs="仿宋_GB2312"/>
                <w:sz w:val="32"/>
                <w:szCs w:val="32"/>
              </w:rPr>
            </w:pPr>
            <w:r>
              <w:rPr>
                <w:rFonts w:hint="eastAsia" w:eastAsia="仿宋_GB2312" w:cs="仿宋_GB2312"/>
                <w:sz w:val="32"/>
                <w:szCs w:val="32"/>
              </w:rPr>
              <w:t>责任单位：各区人民政府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70" w:type="dxa"/>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17</w:t>
            </w:r>
          </w:p>
        </w:tc>
        <w:tc>
          <w:tcPr>
            <w:tcW w:w="1390" w:type="dxa"/>
            <w:vMerge w:val="continue"/>
            <w:noWrap w:val="0"/>
            <w:vAlign w:val="center"/>
          </w:tcPr>
          <w:p>
            <w:pPr>
              <w:snapToGrid w:val="0"/>
              <w:spacing w:line="0" w:lineRule="atLeast"/>
              <w:jc w:val="center"/>
              <w:rPr>
                <w:rFonts w:hint="eastAsia" w:eastAsia="仿宋_GB2312" w:cs="仿宋_GB2312"/>
                <w:sz w:val="32"/>
                <w:szCs w:val="32"/>
              </w:rPr>
            </w:pPr>
          </w:p>
        </w:tc>
        <w:tc>
          <w:tcPr>
            <w:tcW w:w="507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严格控制高耗能、高污染、高排放企业入驻，同步规划建设污水、垃圾处理等市政基础设施和环境卫生设施。</w:t>
            </w:r>
          </w:p>
        </w:tc>
        <w:tc>
          <w:tcPr>
            <w:tcW w:w="2760" w:type="dxa"/>
            <w:vMerge w:val="continue"/>
            <w:noWrap w:val="0"/>
            <w:vAlign w:val="center"/>
          </w:tcPr>
          <w:p>
            <w:pPr>
              <w:spacing w:line="0" w:lineRule="atLeast"/>
              <w:rPr>
                <w:rFonts w:hint="eastAsia"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70" w:type="dxa"/>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18</w:t>
            </w:r>
          </w:p>
        </w:tc>
        <w:tc>
          <w:tcPr>
            <w:tcW w:w="1390" w:type="dxa"/>
            <w:vMerge w:val="continue"/>
            <w:noWrap w:val="0"/>
            <w:vAlign w:val="center"/>
          </w:tcPr>
          <w:p>
            <w:pPr>
              <w:snapToGrid w:val="0"/>
              <w:spacing w:line="0" w:lineRule="atLeast"/>
              <w:jc w:val="center"/>
              <w:rPr>
                <w:rFonts w:hint="eastAsia" w:eastAsia="仿宋_GB2312" w:cs="仿宋_GB2312"/>
                <w:sz w:val="32"/>
                <w:szCs w:val="32"/>
              </w:rPr>
            </w:pPr>
          </w:p>
        </w:tc>
        <w:tc>
          <w:tcPr>
            <w:tcW w:w="507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严防地方政府债务风险，政府债务风险预警的区原则上不得通过政府举债方式建设特色小镇。不得以地方政府回购承诺或信用担保等方式增加地方政府隐性债务。</w:t>
            </w:r>
          </w:p>
        </w:tc>
        <w:tc>
          <w:tcPr>
            <w:tcW w:w="2760" w:type="dxa"/>
            <w:vMerge w:val="continue"/>
            <w:noWrap w:val="0"/>
            <w:vAlign w:val="center"/>
          </w:tcPr>
          <w:p>
            <w:pPr>
              <w:spacing w:line="0" w:lineRule="atLeast"/>
              <w:rPr>
                <w:rFonts w:hint="eastAsia"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70" w:type="dxa"/>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19</w:t>
            </w:r>
          </w:p>
        </w:tc>
        <w:tc>
          <w:tcPr>
            <w:tcW w:w="1390" w:type="dxa"/>
            <w:vMerge w:val="continue"/>
            <w:noWrap w:val="0"/>
            <w:vAlign w:val="center"/>
          </w:tcPr>
          <w:p>
            <w:pPr>
              <w:snapToGrid w:val="0"/>
              <w:spacing w:line="0" w:lineRule="atLeast"/>
              <w:jc w:val="center"/>
              <w:rPr>
                <w:rFonts w:hint="eastAsia" w:eastAsia="仿宋_GB2312" w:cs="仿宋_GB2312"/>
                <w:sz w:val="32"/>
                <w:szCs w:val="32"/>
              </w:rPr>
            </w:pPr>
          </w:p>
        </w:tc>
        <w:tc>
          <w:tcPr>
            <w:tcW w:w="507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严控特色小镇房地产化倾向，在充分论证人口规模基础上，合理控制住宅用地在建设用地中所占比重，原则上不超过25%。</w:t>
            </w:r>
          </w:p>
        </w:tc>
        <w:tc>
          <w:tcPr>
            <w:tcW w:w="2760" w:type="dxa"/>
            <w:vMerge w:val="continue"/>
            <w:noWrap w:val="0"/>
            <w:vAlign w:val="center"/>
          </w:tcPr>
          <w:p>
            <w:pPr>
              <w:spacing w:line="0" w:lineRule="atLeast"/>
              <w:rPr>
                <w:rFonts w:hint="eastAsia"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70" w:type="dxa"/>
            <w:noWrap w:val="0"/>
            <w:vAlign w:val="center"/>
          </w:tcPr>
          <w:p>
            <w:pPr>
              <w:snapToGrid w:val="0"/>
              <w:spacing w:line="0" w:lineRule="atLeast"/>
              <w:jc w:val="center"/>
              <w:rPr>
                <w:rFonts w:hint="eastAsia" w:eastAsia="仿宋_GB2312" w:cs="仿宋_GB2312"/>
                <w:sz w:val="32"/>
                <w:szCs w:val="32"/>
              </w:rPr>
            </w:pPr>
            <w:r>
              <w:rPr>
                <w:rFonts w:hint="eastAsia" w:eastAsia="仿宋_GB2312" w:cs="仿宋_GB2312"/>
                <w:sz w:val="32"/>
                <w:szCs w:val="32"/>
              </w:rPr>
              <w:t>20</w:t>
            </w:r>
          </w:p>
        </w:tc>
        <w:tc>
          <w:tcPr>
            <w:tcW w:w="1390" w:type="dxa"/>
            <w:vMerge w:val="continue"/>
            <w:noWrap w:val="0"/>
            <w:vAlign w:val="center"/>
          </w:tcPr>
          <w:p>
            <w:pPr>
              <w:snapToGrid w:val="0"/>
              <w:spacing w:line="0" w:lineRule="atLeast"/>
              <w:jc w:val="center"/>
              <w:rPr>
                <w:rFonts w:hint="eastAsia" w:eastAsia="仿宋_GB2312" w:cs="仿宋_GB2312"/>
                <w:sz w:val="32"/>
                <w:szCs w:val="32"/>
              </w:rPr>
            </w:pPr>
          </w:p>
        </w:tc>
        <w:tc>
          <w:tcPr>
            <w:tcW w:w="5070" w:type="dxa"/>
            <w:noWrap w:val="0"/>
            <w:vAlign w:val="center"/>
          </w:tcPr>
          <w:p>
            <w:pPr>
              <w:spacing w:line="0" w:lineRule="atLeast"/>
              <w:rPr>
                <w:rFonts w:hint="eastAsia" w:eastAsia="仿宋_GB2312" w:cs="仿宋_GB2312"/>
                <w:sz w:val="32"/>
                <w:szCs w:val="32"/>
              </w:rPr>
            </w:pPr>
            <w:r>
              <w:rPr>
                <w:rFonts w:hint="eastAsia" w:eastAsia="仿宋_GB2312" w:cs="仿宋_GB2312"/>
                <w:sz w:val="32"/>
                <w:szCs w:val="32"/>
              </w:rPr>
              <w:t>严守安全生产底线，加强安全生产监管和重大灾害治理，维护人民群众生命财产安全。</w:t>
            </w:r>
          </w:p>
        </w:tc>
        <w:tc>
          <w:tcPr>
            <w:tcW w:w="2760" w:type="dxa"/>
            <w:vMerge w:val="continue"/>
            <w:noWrap w:val="0"/>
            <w:vAlign w:val="center"/>
          </w:tcPr>
          <w:p>
            <w:pPr>
              <w:spacing w:line="0" w:lineRule="atLeast"/>
              <w:rPr>
                <w:rFonts w:hint="eastAsia" w:eastAsia="仿宋_GB2312" w:cs="仿宋_GB2312"/>
                <w:sz w:val="32"/>
                <w:szCs w:val="32"/>
              </w:rPr>
            </w:pPr>
          </w:p>
        </w:tc>
      </w:tr>
    </w:tbl>
    <w:p>
      <w:pPr>
        <w:tabs>
          <w:tab w:val="left" w:pos="7920"/>
        </w:tabs>
        <w:ind w:firstLine="720" w:firstLineChars="200"/>
        <w:outlineLvl w:val="0"/>
        <w:rPr>
          <w:rFonts w:hint="eastAsia" w:eastAsia="黑体" w:cs="黑体"/>
          <w:sz w:val="36"/>
          <w:szCs w:val="36"/>
        </w:rPr>
      </w:pPr>
    </w:p>
    <w:p>
      <w:pPr>
        <w:tabs>
          <w:tab w:val="left" w:pos="7920"/>
        </w:tabs>
        <w:ind w:firstLine="720" w:firstLineChars="200"/>
        <w:outlineLvl w:val="0"/>
        <w:rPr>
          <w:rFonts w:hint="eastAsia" w:eastAsia="黑体" w:cs="黑体"/>
          <w:sz w:val="36"/>
          <w:szCs w:val="36"/>
        </w:rPr>
      </w:pPr>
    </w:p>
    <w:p>
      <w:pPr>
        <w:tabs>
          <w:tab w:val="left" w:pos="7920"/>
        </w:tabs>
        <w:ind w:firstLine="720" w:firstLineChars="200"/>
        <w:outlineLvl w:val="0"/>
        <w:rPr>
          <w:rFonts w:hint="eastAsia" w:eastAsia="黑体" w:cs="黑体"/>
          <w:sz w:val="32"/>
          <w:szCs w:val="32"/>
        </w:rPr>
      </w:pPr>
      <w:r>
        <w:rPr>
          <w:rFonts w:hint="eastAsia" w:eastAsia="黑体" w:cs="黑体"/>
          <w:sz w:val="36"/>
          <w:szCs w:val="36"/>
        </w:rPr>
        <w:br w:type="page"/>
      </w:r>
      <w:r>
        <w:rPr>
          <w:rFonts w:hint="eastAsia" w:eastAsia="黑体" w:cs="黑体"/>
          <w:sz w:val="32"/>
          <w:szCs w:val="32"/>
        </w:rPr>
        <w:t>二、分类特色小镇具体标准</w:t>
      </w:r>
    </w:p>
    <w:tbl>
      <w:tblPr>
        <w:tblStyle w:val="4"/>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90"/>
        <w:gridCol w:w="3430"/>
        <w:gridCol w:w="2780"/>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jc w:val="center"/>
        </w:trPr>
        <w:tc>
          <w:tcPr>
            <w:tcW w:w="807" w:type="dxa"/>
            <w:noWrap w:val="0"/>
            <w:vAlign w:val="center"/>
          </w:tcPr>
          <w:p>
            <w:pPr>
              <w:spacing w:line="0" w:lineRule="atLeast"/>
              <w:jc w:val="center"/>
              <w:rPr>
                <w:rFonts w:hint="eastAsia" w:eastAsia="黑体" w:cs="黑体"/>
                <w:sz w:val="32"/>
                <w:szCs w:val="32"/>
              </w:rPr>
            </w:pPr>
            <w:r>
              <w:rPr>
                <w:rFonts w:hint="eastAsia" w:eastAsia="黑体" w:cs="黑体"/>
                <w:sz w:val="32"/>
                <w:szCs w:val="32"/>
              </w:rPr>
              <w:t>序号</w:t>
            </w:r>
          </w:p>
        </w:tc>
        <w:tc>
          <w:tcPr>
            <w:tcW w:w="1390" w:type="dxa"/>
            <w:noWrap w:val="0"/>
            <w:vAlign w:val="center"/>
          </w:tcPr>
          <w:p>
            <w:pPr>
              <w:spacing w:line="0" w:lineRule="atLeast"/>
              <w:jc w:val="center"/>
              <w:rPr>
                <w:rFonts w:hint="eastAsia" w:eastAsia="黑体" w:cs="黑体"/>
                <w:sz w:val="32"/>
                <w:szCs w:val="32"/>
              </w:rPr>
            </w:pPr>
            <w:r>
              <w:rPr>
                <w:rFonts w:hint="eastAsia" w:eastAsia="黑体" w:cs="黑体"/>
                <w:sz w:val="32"/>
                <w:szCs w:val="32"/>
              </w:rPr>
              <w:t>类型名称</w:t>
            </w:r>
          </w:p>
        </w:tc>
        <w:tc>
          <w:tcPr>
            <w:tcW w:w="3430" w:type="dxa"/>
            <w:noWrap w:val="0"/>
            <w:vAlign w:val="center"/>
          </w:tcPr>
          <w:p>
            <w:pPr>
              <w:spacing w:line="0" w:lineRule="atLeast"/>
              <w:jc w:val="center"/>
              <w:rPr>
                <w:rFonts w:hint="eastAsia" w:eastAsia="黑体" w:cs="黑体"/>
                <w:sz w:val="32"/>
                <w:szCs w:val="32"/>
              </w:rPr>
            </w:pPr>
            <w:r>
              <w:rPr>
                <w:rFonts w:hint="eastAsia" w:eastAsia="黑体" w:cs="黑体"/>
                <w:sz w:val="32"/>
                <w:szCs w:val="32"/>
              </w:rPr>
              <w:t>产业要求</w:t>
            </w:r>
          </w:p>
        </w:tc>
        <w:tc>
          <w:tcPr>
            <w:tcW w:w="2780" w:type="dxa"/>
            <w:noWrap w:val="0"/>
            <w:vAlign w:val="center"/>
          </w:tcPr>
          <w:p>
            <w:pPr>
              <w:spacing w:line="0" w:lineRule="atLeast"/>
              <w:jc w:val="center"/>
              <w:rPr>
                <w:rFonts w:hint="eastAsia" w:eastAsia="黑体" w:cs="黑体"/>
                <w:sz w:val="32"/>
                <w:szCs w:val="32"/>
              </w:rPr>
            </w:pPr>
            <w:r>
              <w:rPr>
                <w:rFonts w:hint="eastAsia" w:eastAsia="黑体" w:cs="黑体"/>
                <w:sz w:val="32"/>
                <w:szCs w:val="32"/>
              </w:rPr>
              <w:t>配套标准</w:t>
            </w:r>
          </w:p>
        </w:tc>
        <w:tc>
          <w:tcPr>
            <w:tcW w:w="1659" w:type="dxa"/>
            <w:noWrap w:val="0"/>
            <w:vAlign w:val="center"/>
          </w:tcPr>
          <w:p>
            <w:pPr>
              <w:spacing w:line="0" w:lineRule="atLeast"/>
              <w:jc w:val="center"/>
              <w:rPr>
                <w:rFonts w:hint="eastAsia" w:eastAsia="黑体" w:cs="黑体"/>
                <w:sz w:val="32"/>
                <w:szCs w:val="32"/>
              </w:rPr>
            </w:pPr>
            <w:r>
              <w:rPr>
                <w:rFonts w:hint="eastAsia" w:eastAsia="黑体" w:cs="黑体"/>
                <w:sz w:val="32"/>
                <w:szCs w:val="32"/>
              </w:rPr>
              <w:t>指导单位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07" w:type="dxa"/>
            <w:noWrap w:val="0"/>
            <w:vAlign w:val="center"/>
          </w:tcPr>
          <w:p>
            <w:pPr>
              <w:spacing w:line="0" w:lineRule="atLeast"/>
              <w:jc w:val="center"/>
              <w:rPr>
                <w:rFonts w:eastAsia="仿宋_GB2312" w:cs="仿宋_GB2312"/>
                <w:sz w:val="32"/>
                <w:szCs w:val="32"/>
              </w:rPr>
            </w:pPr>
            <w:r>
              <w:rPr>
                <w:rFonts w:hint="eastAsia" w:eastAsia="仿宋_GB2312" w:cs="仿宋_GB2312"/>
                <w:sz w:val="32"/>
                <w:szCs w:val="32"/>
              </w:rPr>
              <w:t>21</w:t>
            </w:r>
          </w:p>
        </w:tc>
        <w:tc>
          <w:tcPr>
            <w:tcW w:w="1390" w:type="dxa"/>
            <w:noWrap w:val="0"/>
            <w:vAlign w:val="center"/>
          </w:tcPr>
          <w:p>
            <w:pPr>
              <w:spacing w:line="0" w:lineRule="atLeast"/>
              <w:jc w:val="center"/>
              <w:rPr>
                <w:rFonts w:hint="eastAsia" w:eastAsia="仿宋_GB2312" w:cs="仿宋_GB2312"/>
                <w:sz w:val="32"/>
                <w:szCs w:val="32"/>
              </w:rPr>
            </w:pPr>
            <w:r>
              <w:rPr>
                <w:rFonts w:hint="eastAsia" w:eastAsia="仿宋_GB2312" w:cs="仿宋_GB2312"/>
                <w:sz w:val="32"/>
                <w:szCs w:val="32"/>
              </w:rPr>
              <w:t>科技创新类特色小镇</w:t>
            </w:r>
          </w:p>
        </w:tc>
        <w:tc>
          <w:tcPr>
            <w:tcW w:w="3430" w:type="dxa"/>
            <w:noWrap w:val="0"/>
            <w:vAlign w:val="center"/>
          </w:tcPr>
          <w:p>
            <w:pPr>
              <w:spacing w:line="0" w:lineRule="atLeast"/>
              <w:jc w:val="left"/>
              <w:rPr>
                <w:rFonts w:hint="eastAsia" w:eastAsia="仿宋_GB2312" w:cs="仿宋_GB2312"/>
                <w:sz w:val="32"/>
                <w:szCs w:val="32"/>
              </w:rPr>
            </w:pPr>
            <w:r>
              <w:rPr>
                <w:rFonts w:hint="eastAsia" w:eastAsia="仿宋_GB2312" w:cs="仿宋_GB2312"/>
                <w:sz w:val="32"/>
                <w:szCs w:val="32"/>
              </w:rPr>
              <w:t>围绕新动能引育，聚焦科技创新孵化、培育、联合攻关，整合各类技术创新资源及教育资源，承接北京科技成果并形成集聚效应，打造行业科研成果熟化工程化工艺化基地、产教融合基地和创业孵化器。区域内企业平均研发投入强度高于所在区平均水平，达到5%。国家科技型中小企业数量达到20%以上。</w:t>
            </w:r>
          </w:p>
        </w:tc>
        <w:tc>
          <w:tcPr>
            <w:tcW w:w="2780" w:type="dxa"/>
            <w:noWrap w:val="0"/>
            <w:vAlign w:val="center"/>
          </w:tcPr>
          <w:p>
            <w:pPr>
              <w:spacing w:line="0" w:lineRule="atLeast"/>
              <w:jc w:val="left"/>
              <w:rPr>
                <w:rFonts w:hint="eastAsia" w:eastAsia="仿宋_GB2312" w:cs="仿宋_GB2312"/>
                <w:sz w:val="32"/>
                <w:szCs w:val="32"/>
              </w:rPr>
            </w:pPr>
            <w:r>
              <w:rPr>
                <w:rFonts w:hint="eastAsia" w:eastAsia="仿宋_GB2312" w:cs="仿宋_GB2312"/>
                <w:sz w:val="32"/>
                <w:szCs w:val="32"/>
              </w:rPr>
              <w:t>提供技术研发转化中心，发展科研成果中试基地。提供专业通用仪器设备和模拟应用场景。根据产业需要提供智能标准生产、检验检测认证等配套设施。</w:t>
            </w:r>
          </w:p>
          <w:p>
            <w:pPr>
              <w:spacing w:line="0" w:lineRule="atLeast"/>
              <w:jc w:val="left"/>
              <w:rPr>
                <w:rFonts w:hint="eastAsia" w:eastAsia="仿宋_GB2312" w:cs="仿宋_GB2312"/>
                <w:sz w:val="32"/>
                <w:szCs w:val="32"/>
              </w:rPr>
            </w:pPr>
          </w:p>
        </w:tc>
        <w:tc>
          <w:tcPr>
            <w:tcW w:w="1659" w:type="dxa"/>
            <w:noWrap w:val="0"/>
            <w:vAlign w:val="center"/>
          </w:tcPr>
          <w:p>
            <w:pPr>
              <w:spacing w:line="0" w:lineRule="atLeast"/>
              <w:jc w:val="left"/>
              <w:rPr>
                <w:rFonts w:hint="eastAsia" w:eastAsia="仿宋_GB2312" w:cs="仿宋_GB2312"/>
                <w:sz w:val="32"/>
                <w:szCs w:val="32"/>
              </w:rPr>
            </w:pPr>
            <w:r>
              <w:rPr>
                <w:rFonts w:hint="eastAsia" w:eastAsia="仿宋_GB2312" w:cs="仿宋_GB2312"/>
                <w:sz w:val="32"/>
                <w:szCs w:val="32"/>
              </w:rPr>
              <w:t>指导单位：市科技局、市发展改革委</w:t>
            </w:r>
          </w:p>
          <w:p>
            <w:pPr>
              <w:spacing w:line="0" w:lineRule="atLeast"/>
              <w:jc w:val="left"/>
              <w:rPr>
                <w:rFonts w:hint="eastAsia" w:eastAsia="仿宋_GB2312" w:cs="仿宋_GB2312"/>
                <w:sz w:val="32"/>
                <w:szCs w:val="32"/>
              </w:rPr>
            </w:pPr>
            <w:r>
              <w:rPr>
                <w:rFonts w:hint="eastAsia" w:eastAsia="仿宋_GB2312" w:cs="仿宋_GB2312"/>
                <w:sz w:val="32"/>
                <w:szCs w:val="32"/>
              </w:rPr>
              <w:t>责任单位：各区人民政府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5" w:hRule="atLeast"/>
          <w:jc w:val="center"/>
        </w:trPr>
        <w:tc>
          <w:tcPr>
            <w:tcW w:w="807" w:type="dxa"/>
            <w:noWrap w:val="0"/>
            <w:vAlign w:val="center"/>
          </w:tcPr>
          <w:p>
            <w:pPr>
              <w:spacing w:line="0" w:lineRule="atLeast"/>
              <w:jc w:val="center"/>
              <w:rPr>
                <w:rFonts w:eastAsia="仿宋_GB2312" w:cs="仿宋_GB2312"/>
                <w:sz w:val="32"/>
                <w:szCs w:val="32"/>
              </w:rPr>
            </w:pPr>
            <w:r>
              <w:rPr>
                <w:rFonts w:hint="eastAsia" w:eastAsia="仿宋_GB2312" w:cs="仿宋_GB2312"/>
                <w:sz w:val="32"/>
                <w:szCs w:val="32"/>
              </w:rPr>
              <w:t>22</w:t>
            </w:r>
          </w:p>
        </w:tc>
        <w:tc>
          <w:tcPr>
            <w:tcW w:w="1390" w:type="dxa"/>
            <w:noWrap w:val="0"/>
            <w:vAlign w:val="center"/>
          </w:tcPr>
          <w:p>
            <w:pPr>
              <w:spacing w:line="0" w:lineRule="atLeast"/>
              <w:jc w:val="center"/>
              <w:rPr>
                <w:rFonts w:hint="eastAsia" w:eastAsia="仿宋_GB2312" w:cs="仿宋_GB2312"/>
                <w:sz w:val="32"/>
                <w:szCs w:val="32"/>
              </w:rPr>
            </w:pPr>
            <w:r>
              <w:rPr>
                <w:rFonts w:hint="eastAsia" w:eastAsia="仿宋_GB2312" w:cs="仿宋_GB2312"/>
                <w:sz w:val="32"/>
                <w:szCs w:val="32"/>
              </w:rPr>
              <w:t>先进制造类特色小镇</w:t>
            </w:r>
          </w:p>
        </w:tc>
        <w:tc>
          <w:tcPr>
            <w:tcW w:w="3430" w:type="dxa"/>
            <w:noWrap w:val="0"/>
            <w:vAlign w:val="center"/>
          </w:tcPr>
          <w:p>
            <w:pPr>
              <w:spacing w:line="0" w:lineRule="atLeast"/>
              <w:jc w:val="left"/>
              <w:rPr>
                <w:rFonts w:hint="eastAsia" w:eastAsia="仿宋_GB2312" w:cs="仿宋_GB2312"/>
                <w:sz w:val="32"/>
                <w:szCs w:val="32"/>
              </w:rPr>
            </w:pPr>
            <w:r>
              <w:rPr>
                <w:rFonts w:hint="eastAsia" w:eastAsia="仿宋_GB2312" w:cs="仿宋_GB2312"/>
                <w:sz w:val="32"/>
                <w:szCs w:val="32"/>
              </w:rPr>
              <w:t>围绕新兴产业，聚焦生物医药、传统医药、新能源、新材料、高端装备，加强先进适用技术应用和设备更新，推动产品增品种、提品质、创品牌，鼓励发展工业旅游。</w:t>
            </w:r>
          </w:p>
        </w:tc>
        <w:tc>
          <w:tcPr>
            <w:tcW w:w="2780" w:type="dxa"/>
            <w:noWrap w:val="0"/>
            <w:vAlign w:val="center"/>
          </w:tcPr>
          <w:p>
            <w:pPr>
              <w:spacing w:line="0" w:lineRule="atLeast"/>
              <w:jc w:val="left"/>
              <w:rPr>
                <w:rFonts w:hint="eastAsia" w:eastAsia="仿宋_GB2312" w:cs="仿宋_GB2312"/>
                <w:sz w:val="32"/>
                <w:szCs w:val="32"/>
              </w:rPr>
            </w:pPr>
            <w:r>
              <w:rPr>
                <w:rFonts w:hint="eastAsia" w:eastAsia="仿宋_GB2312" w:cs="仿宋_GB2312"/>
                <w:sz w:val="32"/>
                <w:szCs w:val="32"/>
              </w:rPr>
              <w:t>着眼降低投产成本、提高产品质量，根据产业需要，健全智能标准生产设施、标准厂房、通用基础制造装备等共用生产设施；提供检验检测认证中心；提供共用生产空间；提供较为完善的职业技能培训。</w:t>
            </w:r>
          </w:p>
        </w:tc>
        <w:tc>
          <w:tcPr>
            <w:tcW w:w="1659" w:type="dxa"/>
            <w:noWrap w:val="0"/>
            <w:vAlign w:val="center"/>
          </w:tcPr>
          <w:p>
            <w:pPr>
              <w:spacing w:line="0" w:lineRule="atLeast"/>
              <w:jc w:val="left"/>
              <w:rPr>
                <w:rFonts w:hint="eastAsia" w:eastAsia="仿宋_GB2312" w:cs="仿宋_GB2312"/>
                <w:sz w:val="32"/>
                <w:szCs w:val="32"/>
              </w:rPr>
            </w:pPr>
            <w:r>
              <w:rPr>
                <w:rFonts w:hint="eastAsia" w:eastAsia="仿宋_GB2312" w:cs="仿宋_GB2312"/>
                <w:sz w:val="32"/>
                <w:szCs w:val="32"/>
              </w:rPr>
              <w:t>指导单位：市工业和信息化局、市文化和旅游局、市发展改革委</w:t>
            </w:r>
          </w:p>
          <w:p>
            <w:pPr>
              <w:spacing w:line="0" w:lineRule="atLeast"/>
              <w:jc w:val="left"/>
              <w:rPr>
                <w:rFonts w:hint="eastAsia" w:eastAsia="仿宋_GB2312" w:cs="仿宋_GB2312"/>
                <w:sz w:val="32"/>
                <w:szCs w:val="32"/>
              </w:rPr>
            </w:pPr>
            <w:r>
              <w:rPr>
                <w:rFonts w:hint="eastAsia" w:eastAsia="仿宋_GB2312" w:cs="仿宋_GB2312"/>
                <w:sz w:val="32"/>
                <w:szCs w:val="32"/>
              </w:rPr>
              <w:t>责任单位：各区人民政府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5" w:hRule="atLeast"/>
          <w:jc w:val="center"/>
        </w:trPr>
        <w:tc>
          <w:tcPr>
            <w:tcW w:w="807" w:type="dxa"/>
            <w:noWrap w:val="0"/>
            <w:vAlign w:val="center"/>
          </w:tcPr>
          <w:p>
            <w:pPr>
              <w:spacing w:line="0" w:lineRule="atLeast"/>
              <w:jc w:val="center"/>
              <w:rPr>
                <w:rFonts w:eastAsia="仿宋_GB2312" w:cs="仿宋_GB2312"/>
                <w:sz w:val="32"/>
                <w:szCs w:val="32"/>
              </w:rPr>
            </w:pPr>
            <w:r>
              <w:rPr>
                <w:rFonts w:hint="eastAsia" w:eastAsia="仿宋_GB2312" w:cs="仿宋_GB2312"/>
                <w:sz w:val="32"/>
                <w:szCs w:val="32"/>
              </w:rPr>
              <w:t>23</w:t>
            </w:r>
          </w:p>
        </w:tc>
        <w:tc>
          <w:tcPr>
            <w:tcW w:w="1390" w:type="dxa"/>
            <w:noWrap w:val="0"/>
            <w:vAlign w:val="center"/>
          </w:tcPr>
          <w:p>
            <w:pPr>
              <w:spacing w:line="0" w:lineRule="atLeast"/>
              <w:jc w:val="center"/>
              <w:rPr>
                <w:rFonts w:hint="eastAsia" w:eastAsia="仿宋_GB2312" w:cs="仿宋_GB2312"/>
                <w:sz w:val="32"/>
                <w:szCs w:val="32"/>
              </w:rPr>
            </w:pPr>
            <w:r>
              <w:rPr>
                <w:rFonts w:hint="eastAsia" w:eastAsia="仿宋_GB2312" w:cs="仿宋_GB2312"/>
                <w:sz w:val="32"/>
                <w:szCs w:val="32"/>
              </w:rPr>
              <w:t>商贸流通类特色小镇</w:t>
            </w:r>
          </w:p>
        </w:tc>
        <w:tc>
          <w:tcPr>
            <w:tcW w:w="3430" w:type="dxa"/>
            <w:noWrap w:val="0"/>
            <w:vAlign w:val="center"/>
          </w:tcPr>
          <w:p>
            <w:pPr>
              <w:spacing w:line="0" w:lineRule="atLeast"/>
              <w:jc w:val="left"/>
              <w:rPr>
                <w:rFonts w:hint="eastAsia" w:eastAsia="仿宋_GB2312" w:cs="仿宋_GB2312"/>
                <w:sz w:val="32"/>
                <w:szCs w:val="32"/>
              </w:rPr>
            </w:pPr>
            <w:r>
              <w:rPr>
                <w:rFonts w:hint="eastAsia" w:eastAsia="仿宋_GB2312" w:cs="仿宋_GB2312"/>
                <w:sz w:val="32"/>
                <w:szCs w:val="32"/>
              </w:rPr>
              <w:t>围绕建设北方国际航运枢纽和北方会展中心城市，以商品流通为主导行业，着眼畅通生产消费连接，引导商贸流通企业实现组织化品牌化发展。</w:t>
            </w:r>
          </w:p>
        </w:tc>
        <w:tc>
          <w:tcPr>
            <w:tcW w:w="2780" w:type="dxa"/>
            <w:noWrap w:val="0"/>
            <w:vAlign w:val="center"/>
          </w:tcPr>
          <w:p>
            <w:pPr>
              <w:spacing w:line="0" w:lineRule="atLeast"/>
              <w:jc w:val="left"/>
              <w:rPr>
                <w:rFonts w:hint="eastAsia" w:eastAsia="仿宋_GB2312" w:cs="仿宋_GB2312"/>
                <w:sz w:val="32"/>
                <w:szCs w:val="32"/>
              </w:rPr>
            </w:pPr>
            <w:r>
              <w:rPr>
                <w:rFonts w:hint="eastAsia" w:eastAsia="仿宋_GB2312" w:cs="仿宋_GB2312"/>
                <w:sz w:val="32"/>
                <w:szCs w:val="32"/>
              </w:rPr>
              <w:t>完善电子商务硬件设施及软件系统。</w:t>
            </w:r>
          </w:p>
        </w:tc>
        <w:tc>
          <w:tcPr>
            <w:tcW w:w="1659" w:type="dxa"/>
            <w:noWrap w:val="0"/>
            <w:vAlign w:val="center"/>
          </w:tcPr>
          <w:p>
            <w:pPr>
              <w:spacing w:line="0" w:lineRule="atLeast"/>
              <w:jc w:val="left"/>
              <w:rPr>
                <w:rFonts w:hint="eastAsia" w:eastAsia="仿宋_GB2312" w:cs="仿宋_GB2312"/>
                <w:sz w:val="32"/>
                <w:szCs w:val="32"/>
              </w:rPr>
            </w:pPr>
            <w:r>
              <w:rPr>
                <w:rFonts w:hint="eastAsia" w:eastAsia="仿宋_GB2312" w:cs="仿宋_GB2312"/>
                <w:sz w:val="32"/>
                <w:szCs w:val="32"/>
              </w:rPr>
              <w:t>指导单位：市商务局、市发展改革委</w:t>
            </w:r>
          </w:p>
          <w:p>
            <w:pPr>
              <w:spacing w:line="0" w:lineRule="atLeast"/>
              <w:jc w:val="left"/>
              <w:rPr>
                <w:rFonts w:hint="eastAsia" w:eastAsia="仿宋_GB2312" w:cs="仿宋_GB2312"/>
                <w:sz w:val="32"/>
                <w:szCs w:val="32"/>
              </w:rPr>
            </w:pPr>
            <w:r>
              <w:rPr>
                <w:rFonts w:hint="eastAsia" w:eastAsia="仿宋_GB2312" w:cs="仿宋_GB2312"/>
                <w:sz w:val="32"/>
                <w:szCs w:val="32"/>
              </w:rPr>
              <w:t>责任单位：各区人民政府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5" w:hRule="atLeast"/>
          <w:jc w:val="center"/>
        </w:trPr>
        <w:tc>
          <w:tcPr>
            <w:tcW w:w="807" w:type="dxa"/>
            <w:noWrap w:val="0"/>
            <w:vAlign w:val="center"/>
          </w:tcPr>
          <w:p>
            <w:pPr>
              <w:spacing w:line="0" w:lineRule="atLeast"/>
              <w:jc w:val="center"/>
              <w:rPr>
                <w:rFonts w:eastAsia="仿宋_GB2312" w:cs="仿宋_GB2312"/>
                <w:sz w:val="32"/>
                <w:szCs w:val="32"/>
              </w:rPr>
            </w:pPr>
            <w:r>
              <w:rPr>
                <w:rFonts w:hint="eastAsia" w:eastAsia="仿宋_GB2312" w:cs="仿宋_GB2312"/>
                <w:sz w:val="32"/>
                <w:szCs w:val="32"/>
              </w:rPr>
              <w:t>24</w:t>
            </w:r>
          </w:p>
        </w:tc>
        <w:tc>
          <w:tcPr>
            <w:tcW w:w="1390" w:type="dxa"/>
            <w:noWrap w:val="0"/>
            <w:vAlign w:val="center"/>
          </w:tcPr>
          <w:p>
            <w:pPr>
              <w:spacing w:line="0" w:lineRule="atLeast"/>
              <w:jc w:val="center"/>
              <w:rPr>
                <w:rFonts w:hint="eastAsia" w:eastAsia="仿宋_GB2312" w:cs="仿宋_GB2312"/>
                <w:sz w:val="32"/>
                <w:szCs w:val="32"/>
              </w:rPr>
            </w:pPr>
            <w:r>
              <w:rPr>
                <w:rFonts w:hint="eastAsia" w:eastAsia="仿宋_GB2312" w:cs="仿宋_GB2312"/>
                <w:sz w:val="32"/>
                <w:szCs w:val="32"/>
              </w:rPr>
              <w:t>文化旅游类特色小镇</w:t>
            </w:r>
          </w:p>
        </w:tc>
        <w:tc>
          <w:tcPr>
            <w:tcW w:w="3430" w:type="dxa"/>
            <w:noWrap w:val="0"/>
            <w:vAlign w:val="center"/>
          </w:tcPr>
          <w:p>
            <w:pPr>
              <w:spacing w:line="0" w:lineRule="atLeast"/>
              <w:jc w:val="left"/>
              <w:rPr>
                <w:rFonts w:hint="eastAsia" w:eastAsia="仿宋_GB2312" w:cs="仿宋_GB2312"/>
                <w:sz w:val="32"/>
                <w:szCs w:val="32"/>
              </w:rPr>
            </w:pPr>
            <w:r>
              <w:rPr>
                <w:rFonts w:hint="eastAsia" w:eastAsia="仿宋_GB2312" w:cs="仿宋_GB2312"/>
                <w:sz w:val="32"/>
                <w:szCs w:val="32"/>
              </w:rPr>
              <w:t>围绕海洋、海河、大运河、长城、盘山等地域优势，以文化旅游、创意设计为主导行业，培育红色旅游、文化遗产旅游、森林旅游、体育休闲、房车营地等服务，加强建筑设计传承创新，打造文化旅游度假区。</w:t>
            </w:r>
          </w:p>
        </w:tc>
        <w:tc>
          <w:tcPr>
            <w:tcW w:w="2780" w:type="dxa"/>
            <w:noWrap w:val="0"/>
            <w:vAlign w:val="center"/>
          </w:tcPr>
          <w:p>
            <w:pPr>
              <w:spacing w:line="0" w:lineRule="atLeast"/>
              <w:jc w:val="left"/>
              <w:rPr>
                <w:rFonts w:hint="eastAsia" w:eastAsia="仿宋_GB2312" w:cs="仿宋_GB2312"/>
                <w:sz w:val="32"/>
                <w:szCs w:val="32"/>
              </w:rPr>
            </w:pPr>
            <w:r>
              <w:rPr>
                <w:rFonts w:hint="eastAsia" w:eastAsia="仿宋_GB2312" w:cs="仿宋_GB2312"/>
                <w:sz w:val="32"/>
                <w:szCs w:val="32"/>
              </w:rPr>
              <w:t>根据需要，合理植入公共图书馆、文化馆、博物馆等公共文化设施，完善游客服务中心、旅游道路、旅游厕所等配套设施。</w:t>
            </w:r>
          </w:p>
        </w:tc>
        <w:tc>
          <w:tcPr>
            <w:tcW w:w="1659" w:type="dxa"/>
            <w:noWrap w:val="0"/>
            <w:vAlign w:val="center"/>
          </w:tcPr>
          <w:p>
            <w:pPr>
              <w:spacing w:line="0" w:lineRule="atLeast"/>
              <w:jc w:val="left"/>
              <w:rPr>
                <w:rFonts w:hint="eastAsia" w:eastAsia="仿宋_GB2312" w:cs="仿宋_GB2312"/>
                <w:sz w:val="32"/>
                <w:szCs w:val="32"/>
              </w:rPr>
            </w:pPr>
            <w:r>
              <w:rPr>
                <w:rFonts w:hint="eastAsia" w:eastAsia="仿宋_GB2312" w:cs="仿宋_GB2312"/>
                <w:sz w:val="32"/>
                <w:szCs w:val="32"/>
              </w:rPr>
              <w:t>指导单位：市文化和旅游局、市发展改革委</w:t>
            </w:r>
          </w:p>
          <w:p>
            <w:pPr>
              <w:spacing w:line="0" w:lineRule="atLeast"/>
              <w:jc w:val="left"/>
              <w:rPr>
                <w:rFonts w:hint="eastAsia" w:eastAsia="仿宋_GB2312" w:cs="仿宋_GB2312"/>
                <w:sz w:val="32"/>
                <w:szCs w:val="32"/>
              </w:rPr>
            </w:pPr>
            <w:r>
              <w:rPr>
                <w:rFonts w:hint="eastAsia" w:eastAsia="仿宋_GB2312" w:cs="仿宋_GB2312"/>
                <w:sz w:val="32"/>
                <w:szCs w:val="32"/>
              </w:rPr>
              <w:t>责任单位：各区人民政府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807" w:type="dxa"/>
            <w:noWrap w:val="0"/>
            <w:vAlign w:val="center"/>
          </w:tcPr>
          <w:p>
            <w:pPr>
              <w:spacing w:line="0" w:lineRule="atLeast"/>
              <w:jc w:val="center"/>
              <w:rPr>
                <w:rFonts w:eastAsia="仿宋_GB2312" w:cs="仿宋_GB2312"/>
                <w:sz w:val="32"/>
                <w:szCs w:val="32"/>
              </w:rPr>
            </w:pPr>
            <w:r>
              <w:rPr>
                <w:rFonts w:hint="eastAsia" w:eastAsia="仿宋_GB2312" w:cs="仿宋_GB2312"/>
                <w:sz w:val="32"/>
                <w:szCs w:val="32"/>
              </w:rPr>
              <w:t>25</w:t>
            </w:r>
          </w:p>
        </w:tc>
        <w:tc>
          <w:tcPr>
            <w:tcW w:w="1390" w:type="dxa"/>
            <w:noWrap w:val="0"/>
            <w:vAlign w:val="center"/>
          </w:tcPr>
          <w:p>
            <w:pPr>
              <w:spacing w:line="0" w:lineRule="atLeast"/>
              <w:jc w:val="center"/>
              <w:rPr>
                <w:rFonts w:hint="eastAsia" w:eastAsia="仿宋_GB2312" w:cs="仿宋_GB2312"/>
                <w:sz w:val="32"/>
                <w:szCs w:val="32"/>
              </w:rPr>
            </w:pPr>
            <w:r>
              <w:rPr>
                <w:rFonts w:hint="eastAsia" w:eastAsia="仿宋_GB2312" w:cs="仿宋_GB2312"/>
                <w:sz w:val="32"/>
                <w:szCs w:val="32"/>
              </w:rPr>
              <w:t>传统农特类特色小镇</w:t>
            </w:r>
          </w:p>
        </w:tc>
        <w:tc>
          <w:tcPr>
            <w:tcW w:w="3430" w:type="dxa"/>
            <w:noWrap w:val="0"/>
            <w:vAlign w:val="center"/>
          </w:tcPr>
          <w:p>
            <w:pPr>
              <w:spacing w:line="0" w:lineRule="atLeast"/>
              <w:jc w:val="left"/>
              <w:rPr>
                <w:rFonts w:hint="eastAsia" w:eastAsia="仿宋_GB2312" w:cs="仿宋_GB2312"/>
                <w:sz w:val="32"/>
                <w:szCs w:val="32"/>
              </w:rPr>
            </w:pPr>
            <w:r>
              <w:rPr>
                <w:rFonts w:hint="eastAsia" w:eastAsia="仿宋_GB2312" w:cs="仿宋_GB2312"/>
                <w:sz w:val="32"/>
                <w:szCs w:val="32"/>
              </w:rPr>
              <w:t>围绕本市乡村种养业、加工业传统优势，着眼做强特色优势产业、丰富乡村经济业态、促进种养加结合，推动农村一二三产业融合发展，集中发展农产品加工业和农业生产性服务业，壮大休闲农业、乡村旅游、林下经济、民宿经济、农耕体验等业态，加强智慧农业建设和农业科技化推广。</w:t>
            </w:r>
          </w:p>
        </w:tc>
        <w:tc>
          <w:tcPr>
            <w:tcW w:w="2780" w:type="dxa"/>
            <w:noWrap w:val="0"/>
            <w:vAlign w:val="center"/>
          </w:tcPr>
          <w:p>
            <w:pPr>
              <w:spacing w:line="0" w:lineRule="atLeast"/>
              <w:jc w:val="left"/>
              <w:rPr>
                <w:rFonts w:hint="eastAsia" w:eastAsia="仿宋_GB2312" w:cs="仿宋_GB2312"/>
                <w:sz w:val="32"/>
                <w:szCs w:val="32"/>
              </w:rPr>
            </w:pPr>
            <w:r>
              <w:rPr>
                <w:rFonts w:hint="eastAsia" w:eastAsia="仿宋_GB2312" w:cs="仿宋_GB2312"/>
                <w:sz w:val="32"/>
                <w:szCs w:val="32"/>
              </w:rPr>
              <w:t>根据产业特点，建设农产品电商服务站点、仓储保鲜、冷链物流设施等产业配套。</w:t>
            </w:r>
          </w:p>
          <w:p>
            <w:pPr>
              <w:spacing w:line="0" w:lineRule="atLeast"/>
              <w:jc w:val="left"/>
              <w:rPr>
                <w:rFonts w:hint="eastAsia" w:eastAsia="仿宋_GB2312" w:cs="仿宋_GB2312"/>
                <w:sz w:val="32"/>
                <w:szCs w:val="32"/>
              </w:rPr>
            </w:pPr>
          </w:p>
        </w:tc>
        <w:tc>
          <w:tcPr>
            <w:tcW w:w="1659" w:type="dxa"/>
            <w:noWrap w:val="0"/>
            <w:vAlign w:val="center"/>
          </w:tcPr>
          <w:p>
            <w:pPr>
              <w:spacing w:line="0" w:lineRule="atLeast"/>
              <w:jc w:val="left"/>
              <w:rPr>
                <w:rFonts w:hint="eastAsia" w:eastAsia="仿宋_GB2312" w:cs="仿宋_GB2312"/>
                <w:sz w:val="32"/>
                <w:szCs w:val="32"/>
              </w:rPr>
            </w:pPr>
            <w:r>
              <w:rPr>
                <w:rFonts w:hint="eastAsia" w:eastAsia="仿宋_GB2312" w:cs="仿宋_GB2312"/>
                <w:sz w:val="32"/>
                <w:szCs w:val="32"/>
              </w:rPr>
              <w:t>指导单位：市发展改革委等有关部门</w:t>
            </w:r>
          </w:p>
          <w:p>
            <w:pPr>
              <w:spacing w:line="0" w:lineRule="atLeast"/>
              <w:jc w:val="left"/>
              <w:rPr>
                <w:rFonts w:hint="eastAsia" w:eastAsia="仿宋_GB2312" w:cs="仿宋_GB2312"/>
                <w:sz w:val="32"/>
                <w:szCs w:val="32"/>
              </w:rPr>
            </w:pPr>
            <w:r>
              <w:rPr>
                <w:rFonts w:hint="eastAsia" w:eastAsia="仿宋_GB2312" w:cs="仿宋_GB2312"/>
                <w:sz w:val="32"/>
                <w:szCs w:val="32"/>
              </w:rPr>
              <w:t>责任单位：各区人民政府</w:t>
            </w:r>
          </w:p>
        </w:tc>
      </w:tr>
    </w:tbl>
    <w:p>
      <w:pPr>
        <w:tabs>
          <w:tab w:val="left" w:pos="7920"/>
        </w:tabs>
        <w:ind w:firstLine="720" w:firstLineChars="200"/>
        <w:rPr>
          <w:rFonts w:hint="eastAsia" w:eastAsia="黑体" w:cs="黑体"/>
          <w:sz w:val="36"/>
          <w:szCs w:val="36"/>
        </w:rPr>
      </w:pP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2010604000101010101"/>
    <w:charset w:val="00"/>
    <w:family w:val="auto"/>
    <w:pitch w:val="default"/>
    <w:sig w:usb0="00000000" w:usb1="00000000" w:usb2="00000010"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13570"/>
    <w:rsid w:val="5FA13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文星仿宋" w:cs="Times New Roman"/>
      <w:kern w:val="2"/>
      <w:sz w:val="32"/>
      <w:szCs w:val="24"/>
      <w:lang w:val="en-US" w:eastAsia="zh-CN" w:bidi="ar-SA"/>
    </w:rPr>
  </w:style>
  <w:style w:type="paragraph" w:styleId="3">
    <w:name w:val="Body Text Indent"/>
    <w:qFormat/>
    <w:uiPriority w:val="0"/>
    <w:pPr>
      <w:widowControl w:val="0"/>
      <w:ind w:firstLine="720" w:firstLineChars="225"/>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2022-03-05T10:52:00Z</dcterms:created>
  <dc:creator>李萱</dc:creator>
  <cp:lastModifiedBy>李萱</cp:lastModifiedBy>
  <dcterms:modified xsi:type="dcterms:W3CDTF">2022-03-05T10:53:23Z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9AAF5AF1FD3F4F069B1AB454F56D3544</vt:lpwstr>
  </property>
</Properties>
</file>