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0"/>
        <w:rPr>
          <w:rFonts w:hint="default" w:ascii="黑体" w:hAnsi="黑体" w:eastAsia="黑体" w:cs="黑体"/>
          <w:i w:val="0"/>
          <w:caps w:val="0"/>
          <w:color w:val="3A3A3A"/>
          <w:spacing w:val="0"/>
          <w:sz w:val="32"/>
          <w:szCs w:val="32"/>
          <w:lang w:val="en"/>
        </w:rPr>
      </w:pPr>
      <w:r>
        <w:rPr>
          <w:rFonts w:hint="eastAsia" w:ascii="黑体" w:hAnsi="黑体" w:eastAsia="黑体" w:cs="黑体"/>
          <w:i w:val="0"/>
          <w:caps w:val="0"/>
          <w:color w:val="3A3A3A"/>
          <w:spacing w:val="0"/>
          <w:sz w:val="32"/>
          <w:szCs w:val="32"/>
          <w:shd w:val="clear" w:color="auto" w:fill="FFFFFF"/>
        </w:rPr>
        <w:t>附件</w:t>
      </w:r>
      <w:r>
        <w:rPr>
          <w:rFonts w:hint="default" w:ascii="黑体" w:hAnsi="黑体" w:eastAsia="黑体" w:cs="黑体"/>
          <w:i w:val="0"/>
          <w:caps w:val="0"/>
          <w:color w:val="3A3A3A"/>
          <w:spacing w:val="0"/>
          <w:sz w:val="32"/>
          <w:szCs w:val="32"/>
          <w:shd w:val="clear" w:color="auto" w:fill="FFFFFF"/>
          <w:lang w:val="en"/>
        </w:rPr>
        <w:t>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2" w:lineRule="atLeast"/>
        <w:ind w:left="-687" w:right="0" w:firstLine="1033"/>
        <w:jc w:val="center"/>
        <w:rPr>
          <w:rFonts w:hint="eastAsia" w:ascii="方正小标宋简体" w:hAnsi="方正小标宋简体" w:eastAsia="方正小标宋简体" w:cs="方正小标宋简体"/>
          <w:i w:val="0"/>
          <w:caps w:val="0"/>
          <w:color w:val="3A3A3A"/>
          <w:spacing w:val="0"/>
          <w:sz w:val="40"/>
          <w:szCs w:val="40"/>
        </w:rPr>
      </w:pPr>
      <w:bookmarkStart w:id="0" w:name="_GoBack"/>
      <w:r>
        <w:rPr>
          <w:rFonts w:hint="eastAsia" w:ascii="方正小标宋简体" w:hAnsi="方正小标宋简体" w:eastAsia="方正小标宋简体" w:cs="方正小标宋简体"/>
          <w:i w:val="0"/>
          <w:caps w:val="0"/>
          <w:color w:val="3A3A3A"/>
          <w:spacing w:val="0"/>
          <w:sz w:val="40"/>
          <w:szCs w:val="40"/>
          <w:shd w:val="clear" w:color="auto" w:fill="FFFFFF"/>
        </w:rPr>
        <w:t>天津市重点用能单位能源审计报告内容和深度要求</w:t>
      </w:r>
      <w:bookmarkEnd w:id="0"/>
    </w:p>
    <w:tbl>
      <w:tblPr>
        <w:tblStyle w:val="5"/>
        <w:tblW w:w="5308"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60" w:type="dxa"/>
          <w:left w:w="60" w:type="dxa"/>
          <w:bottom w:w="60" w:type="dxa"/>
          <w:right w:w="60" w:type="dxa"/>
        </w:tblCellMar>
      </w:tblPr>
      <w:tblGrid>
        <w:gridCol w:w="1091"/>
        <w:gridCol w:w="1991"/>
        <w:gridCol w:w="4453"/>
        <w:gridCol w:w="1846"/>
        <w:gridCol w:w="53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585" w:hRule="atLeast"/>
          <w:tblHeader/>
        </w:trPr>
        <w:tc>
          <w:tcPr>
            <w:tcW w:w="37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审计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内容</w:t>
            </w: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审计项目</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内容要求</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规定图表要求</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Style w:val="7"/>
                <w:rFonts w:hint="eastAsia" w:ascii="仿宋_GB2312" w:hAnsi="仿宋_GB2312" w:eastAsia="仿宋_GB2312" w:cs="仿宋_GB2312"/>
                <w:sz w:val="21"/>
                <w:szCs w:val="21"/>
              </w:rPr>
              <w:t>深度要求</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摘要</w:t>
            </w: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摘   要</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199" w:right="0" w:hanging="199"/>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1、用能单位简况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2、用能单位能源管理现状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3、用能单位能源消费结构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4、用能单位主要产品或工序能耗指标完成情况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5、用能单位能源利用效果评价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6、用能单位存在的主要问题，拟采</w:t>
            </w:r>
            <w:r>
              <w:rPr>
                <w:rFonts w:hint="eastAsia" w:ascii="仿宋_GB2312" w:hAnsi="仿宋_GB2312" w:eastAsia="仿宋_GB2312" w:cs="仿宋_GB2312"/>
                <w:sz w:val="21"/>
                <w:szCs w:val="21"/>
                <w:lang w:eastAsia="zh-CN"/>
              </w:rPr>
              <w:t>取</w:t>
            </w:r>
            <w:r>
              <w:rPr>
                <w:rFonts w:hint="eastAsia" w:ascii="仿宋_GB2312" w:hAnsi="仿宋_GB2312" w:eastAsia="仿宋_GB2312" w:cs="仿宋_GB2312"/>
                <w:sz w:val="21"/>
                <w:szCs w:val="21"/>
              </w:rPr>
              <w:t>的主要节能技措和能源管理建议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7、审计结论和建议</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能源消费结构表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主要能耗指标表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审计数据汇总表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语言精练，简明扼要，概括报告内容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有重要能耗指标数据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有评价、技措、建议和结论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2000字以内</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restar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1、审计事项说明</w:t>
            </w: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1.1任务来源</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国家、天津市下达计划或自行安排</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需注明下达文件名称及编号。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1.2审计依据</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列出有关法律、法规、标准、规范、文件</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法律、法规、标准、规范和文件现行、有效、齐全。</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1.3 审计期</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通常为规定的审计年（财务制度年）或特定时间段</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审计期前1-2年为对比年</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写清具体起止时间（年、月、日）。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1.4审计范围、边界和目标</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明确审计具体范围、边界和目标</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明确并说明审计项目的边界，边界内能耗统计范围与产值、产量统计范围一致；按照《能源审计技术通则》（GB/T 17166）确定明确的能源审计内容和目标。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1.5审计流程和方法</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本次审计采取的基本工作程序和方法</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按照《能源审计技术通则》（GB/T 17166）中企业能源审计的流程要求，说明审计具体工作程序和方法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1.6审计开展的时间进度</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本次审计开展的时间进度</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按照审计流程，描述审计工作开展的时间进度情况。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1.7审计情况说明</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上轮能源审计措施落实情况</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说明上轮能源审计提出的能源管理、节能改进措施落实情况，首次开展能源审计的用能单位应说明。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restar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2、基本情况</w:t>
            </w: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2.1用能单位简况</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单位性质、隶属关系、主要产品、主要生产工艺和设备能力、工业总产值、增加值、利税，员工数，占地面积、厂区布置、坐落地址、组织结构等相关内容</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单位概况及主要技术经济指标一览表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组织结构图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厂区平面图</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单位介绍的主要内容全面准确；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单位平面图可用文字叙述替代。</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2.2 主要产品生产工艺概况</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1、主要产品介绍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199" w:right="0" w:hanging="199"/>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2、主要生产工艺说明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⑴工艺流程图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⑵工艺流程说明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⑶主要工艺能源消耗状况</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工艺流程图：从原料到成品的流程</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对主要工艺介绍简明扼要；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说明流程图中能耗的主要工艺框（工艺或装置）的能耗情况(动力消耗)；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主要工艺、装置、主要设备的先进性描述。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557"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2.3 供能系统情况</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电力系统、热力系统、其他能源（含耗能工质）转换（或生产）系统情况</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绘制电力系统图、热力系统图、其他能源（含耗能工质）转换（或生产）系统图</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对主要供能系统介绍简明扼要（供能系统除输配环节单元外，包括企业自产二次能源和耗能工质的生产单元）；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合能源系统图说明能源和耗能工质供应来源、线路或管网条件、能源品质参数，加工转换设备、二次能源及耗能工质性能参数，输送分配线路或管网系统分布，最终使用系统包括：生产线系统、辅助系统、附属系统的最终用能单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2.4 主要用能系统、过程、设施和设备</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收集并列出主要用能系统、过程、设施和设备清单</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主要用能系统、过程、设施和设备列表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清单列表应包括：名称、型号、功率/容量、数量、用能种类、年度运行时间、投产日期等。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restar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3、能源管理、统计状况</w:t>
            </w: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3.1节能目标</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确定的节能目标及达到目标责任制情况</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能源管理和节能目标文件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目标责任制考核文件</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包括单位“十</w:t>
            </w:r>
            <w:r>
              <w:rPr>
                <w:rFonts w:hint="eastAsia" w:ascii="仿宋_GB2312" w:hAnsi="仿宋_GB2312" w:eastAsia="仿宋_GB2312" w:cs="仿宋_GB2312"/>
                <w:sz w:val="21"/>
                <w:szCs w:val="21"/>
                <w:lang w:eastAsia="zh-CN"/>
              </w:rPr>
              <w:t>四</w:t>
            </w:r>
            <w:r>
              <w:rPr>
                <w:rFonts w:hint="eastAsia" w:ascii="仿宋_GB2312" w:hAnsi="仿宋_GB2312" w:eastAsia="仿宋_GB2312" w:cs="仿宋_GB2312"/>
                <w:sz w:val="21"/>
                <w:szCs w:val="21"/>
              </w:rPr>
              <w:t>五”节能规划目标和年度目标。无节能目标的必须在审计期间制定公布，并作说明。评价节能目标责任制实施情况，要求有具体数据。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3.2能源管理机构和职责</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要明确节能管理网络、能源管理机构、能源管理人员设置情况，管理机构的职责</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节能管理体系网络图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能源管理负责人任命文件</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考察能源管理岗位负责人的基本条件，备案情况，职责，接受培训情况，对用能单位能源管理机构运行情况有评估意见。</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1112"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3.3能源管理制度</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能源管理制度现状及执行情况</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能源管理制度列表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审查能源管理制度重要条款的实际执行效果并评价各项制度执行情况，对能源管理方案的实施过程和结果进行评价（制度是否制定与完善程度），能源管理体系建设情况。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362"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3.4能源计量管理</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能源计量器具表和能源计量网络情况；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能源计量器具配备率、完好率和检定周期、受检率情况；计量仪表的准确度</w:t>
            </w:r>
            <w:r>
              <w:rPr>
                <w:rFonts w:hint="eastAsia" w:ascii="仿宋_GB2312" w:hAnsi="仿宋_GB2312" w:eastAsia="仿宋_GB2312" w:cs="仿宋_GB2312"/>
                <w:sz w:val="21"/>
                <w:szCs w:val="21"/>
                <w:lang w:eastAsia="zh-CN"/>
              </w:rPr>
              <w:t>及</w:t>
            </w:r>
            <w:r>
              <w:rPr>
                <w:rFonts w:hint="eastAsia" w:ascii="仿宋_GB2312" w:hAnsi="仿宋_GB2312" w:eastAsia="仿宋_GB2312" w:cs="仿宋_GB2312"/>
                <w:sz w:val="21"/>
                <w:szCs w:val="21"/>
              </w:rPr>
              <w:t>存在问题分析</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能源计量器具配备率表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能源计量网络图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完整的能源计量器具一览表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对现有能源计量管理与计量器具配备使用情况要叙述清楚，并按《用能单位能源计量器具配备与管理通则》（GB 17167）要求评价，调研能耗在线监测系统安装与运行情况。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3.5能源统计管理</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能源统计现状，机构、网络、原始记录、台帐、报表、分析报告等情况</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对现有能源统计现状及组织机构、网络和统计人员配备、报表的及时性、完整性、准确性有审计意见。对能源统计、统计信息化、统计分析评价。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1007"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3.6能源定额管理</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能源定额管理现状，能耗定额制订、下达、考核情况</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能耗定额管理文件，能耗定额表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审核查阅原始资料及报表，定额值（计划值）与实际值进行分析比较，对定额管理的有效性有审计意见，对于未开展能耗定额管理的企业应给出明确建议。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871"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3.7 对能源使用量的审核</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按用能单位能源流程图，分别对下列内容进行核实：</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1、外购贮存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2、加工转换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3、输送分配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4、主要生产系统、辅助生产系统、附属生产系统用能单元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5、回收利用的能源和耗能工质的能源统计资料</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各种能源消费流向表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天津市企业能源统计（年度）报表，要附数据来源图片，增加数据审核的真实性</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能源购、销、存数据进行全年核查；对能源消费平衡综合表数据核查；对天津市企业能源统计（年度）报表数据要追溯到原始票据和库存记录核查；与上报统计局数据比较，有差异时说明原因，对平衡表中的盘盈或盘亏情况进行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能源和耗能工质的能源统计资料、财务账目、仓库账目进行抽查一个月数据，检查是否账目相符，报告说明抽查资料名称资料提供部门抽查月份、数据差错率等情况。</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1916"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3.8对采用的能源折标系数的审核</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能源统计中的能源和耗能工质，当量值、等价值，采用折标系数的正确性审核</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折标系数表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折标系数的采用应首先采用实测计算且应有</w:t>
            </w:r>
            <w:r>
              <w:rPr>
                <w:rFonts w:hint="eastAsia" w:ascii="仿宋_GB2312" w:hAnsi="仿宋_GB2312" w:eastAsia="仿宋_GB2312" w:cs="仿宋_GB2312"/>
                <w:sz w:val="21"/>
                <w:szCs w:val="21"/>
                <w:lang w:eastAsia="zh-CN"/>
              </w:rPr>
              <w:t>实测数据</w:t>
            </w:r>
            <w:r>
              <w:rPr>
                <w:rFonts w:hint="eastAsia" w:ascii="仿宋_GB2312" w:hAnsi="仿宋_GB2312" w:eastAsia="仿宋_GB2312" w:cs="仿宋_GB2312"/>
                <w:sz w:val="21"/>
                <w:szCs w:val="21"/>
              </w:rPr>
              <w:t>计算过程，无法实测计算的选用相关标准或参照国家统计局</w:t>
            </w:r>
            <w:r>
              <w:rPr>
                <w:rFonts w:hint="eastAsia" w:ascii="仿宋_GB2312" w:hAnsi="仿宋_GB2312" w:eastAsia="仿宋_GB2312" w:cs="仿宋_GB2312"/>
                <w:sz w:val="21"/>
                <w:szCs w:val="21"/>
                <w:lang w:eastAsia="zh-CN"/>
              </w:rPr>
              <w:t>、市统计局</w:t>
            </w:r>
            <w:r>
              <w:rPr>
                <w:rFonts w:hint="eastAsia" w:ascii="仿宋_GB2312" w:hAnsi="仿宋_GB2312" w:eastAsia="仿宋_GB2312" w:cs="仿宋_GB2312"/>
                <w:sz w:val="21"/>
                <w:szCs w:val="21"/>
              </w:rPr>
              <w:t>公布的数据，注明出处。</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1392"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3.9能源消费状况</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核定消费能源种类、结构、能源消耗量、综合能耗量</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能源消费结构表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pacing w:val="-4"/>
                <w:sz w:val="21"/>
                <w:szCs w:val="21"/>
              </w:rPr>
            </w:pPr>
            <w:r>
              <w:rPr>
                <w:rFonts w:hint="eastAsia" w:ascii="仿宋_GB2312" w:hAnsi="仿宋_GB2312" w:eastAsia="仿宋_GB2312" w:cs="仿宋_GB2312"/>
                <w:spacing w:val="-4"/>
                <w:sz w:val="21"/>
                <w:szCs w:val="21"/>
              </w:rPr>
              <w:t>能源消费实物平衡表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能源消费实物平衡表能源流向清晰，数据准确；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综合能耗：在统计期内实际消耗的各种能源实物量，按规定的计算方法和单位分别折算成标准煤后的总和。</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3.10 对产值、增加值和产品产量数据审核</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列出审计范围内各种产品产量、工业总产值、增加值</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产品产量核定表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工业总产值、增加值统计表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审核各种产品合格的产量、合格率与企业上报统计局数据有否差异，有差异说明原因。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restar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4、能源利用状况和能源绩效分析评估</w:t>
            </w: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4.1能源绩效指标分析评估</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应计算的能源绩效指标：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用能单位：综合能耗、单位产值综合能耗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产品：产品综合能耗、产品单位产量综合能耗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工序：工序（装置）综合能耗、工序单位产出综合能耗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分别对上述能耗指标进行对标分析</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主要产品能源消耗表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产品单位产量能耗计算汇总表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重点工艺（工序）能耗计算汇总表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列出主要产品能耗（能耗合计应占用能单位综合能耗的75％以上）；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对大型集团公司应有非独立核算的分公司数据；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按标准规定计算方法列出计算公式，正确计算出企业、产品、工序各项能效指标；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对主要能耗指标分别进行分析，重点对生产工艺能源利用水平进行分析与重点用能单位年度能源利用状况报告一致性对比；</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分析能源绩效参数的历史变化趋势及主要影响因素；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根据国家、天津市能耗限额标准、行业能耗标准、国内外先进水平、企业历史最好水平、清洁生产审核标准、能效先进水平等资料对</w:t>
            </w:r>
            <w:r>
              <w:rPr>
                <w:rFonts w:hint="eastAsia" w:ascii="仿宋_GB2312" w:hAnsi="仿宋_GB2312" w:eastAsia="仿宋_GB2312" w:cs="仿宋_GB2312"/>
                <w:spacing w:val="-4"/>
                <w:sz w:val="21"/>
                <w:szCs w:val="21"/>
              </w:rPr>
              <w:t>上述能效指标进行对标分析。</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471"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4.2对主要用能系统、主要生产工艺、生产设备能效水平分析评估</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对电、热等主要用能系统进行系统分析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对主要生产工艺、生产设备能源利用水平进行分析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主要用能系统主要设备（包括能源转换设备）能效指标分析、测试情况</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主要机电设备、用热设备节能</w:t>
            </w:r>
            <w:r>
              <w:rPr>
                <w:rFonts w:hint="eastAsia" w:ascii="仿宋_GB2312" w:hAnsi="仿宋_GB2312" w:eastAsia="仿宋_GB2312" w:cs="仿宋_GB2312"/>
                <w:sz w:val="21"/>
                <w:szCs w:val="21"/>
                <w:lang w:eastAsia="zh-CN"/>
              </w:rPr>
              <w:t>检（监）测结果</w:t>
            </w:r>
            <w:r>
              <w:rPr>
                <w:rFonts w:hint="eastAsia" w:ascii="仿宋_GB2312" w:hAnsi="仿宋_GB2312" w:eastAsia="仿宋_GB2312" w:cs="仿宋_GB2312"/>
                <w:sz w:val="21"/>
                <w:szCs w:val="21"/>
              </w:rPr>
              <w:t>汇总表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节能</w:t>
            </w:r>
            <w:r>
              <w:rPr>
                <w:rFonts w:hint="eastAsia" w:ascii="仿宋_GB2312" w:hAnsi="仿宋_GB2312" w:eastAsia="仿宋_GB2312" w:cs="仿宋_GB2312"/>
                <w:sz w:val="21"/>
                <w:szCs w:val="21"/>
                <w:lang w:eastAsia="zh-CN"/>
              </w:rPr>
              <w:t>检（监）测结果</w:t>
            </w:r>
            <w:r>
              <w:rPr>
                <w:rFonts w:hint="eastAsia" w:ascii="仿宋_GB2312" w:hAnsi="仿宋_GB2312" w:eastAsia="仿宋_GB2312" w:cs="仿宋_GB2312"/>
                <w:sz w:val="21"/>
                <w:szCs w:val="21"/>
              </w:rPr>
              <w:t>列入审计报告附件</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对电、热等主要用能系统合理用能情况进行评估；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对主要生产工艺、生产设备能源利用水平进行评估；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对有节能潜力的主要用能设备应进行能耗利用分析计算；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对热平衡、电平衡测试测试结果进行评价分析，对测试、监测结果不达标的指标分析原因；</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电平衡、热平衡、主要用能设备测试报告应由具有检验检测资质的机构出具并盖章。</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340"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4.3 淘汰产品、设备（装置）、工艺、生产能力情况</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查清有否列入国家淘汰的产品、设备、装置、工艺和生产能力情况</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列出应淘汰的产品、设备、装置、工艺和生产能力表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列入国家淘汰目录的产品、设备、装置、工艺和生产能力的必须说明。</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1027"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4.4 能源费用分析</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对现有产品能源费用结构分析包括：能源购入单价、数量及质量审核结果</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消耗能源费用表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能源费用构成，能源费用占生产成本和加工成本的比例；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分析能源成本上升/下降的原因及对策。</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163" w:hRule="atLeast"/>
        </w:trPr>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4.5 用能单位节能量分析</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用能单位审计期节能量计算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近两年已实施节能技术改造项目、技术措施节能量</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近两年已实施节能技术改造项目表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根据《用能单位节能量计算方法》（GB/T 13234）等标准计算审计期节能量，评估节能效果；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近两年已实施节能技术改造项目名称、改造内容、投资额、节能经济效益、节能量（有节能实物量并折合当量值、等价值）要有合计数。</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restar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5、节能潜力分析</w:t>
            </w: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5.1管理存在问题、节能潜力分析及改进建议</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从能源管理、设备管理等方面，全面查找问题、挖掘潜力、提出改进建议</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能源管理存在的问题与对应改进建议汇总表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从能源管理机构与制度执行、能源购入质量控制消耗与储存、能源计量、能源统计、加工转换能源利用效率、输送分配管理、设备运行与工艺管理及设备操作人员培训等方面分析；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提出管理中改进建议，建议应具有操作性。</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5.2技术存在问题及节能潜力分析</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从能源替代技术、系统优化利用二次能源、节能新技术、新设备、新工艺应用、提高用电用热设备效率、余热利用等方面分析</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用能系统、过程、设施和设备等存在的问题与对应改进建议汇总表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结合现场生产诊断及测试报告对主要供、用能系统、主要用能设备、重点工艺进行节能潜力分析；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对用能单位余能余热资源分析利用的可能性；</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对淘汰产品、设备、装置、工艺和生产能力潜力分析；</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现有技术和市场最先进节能技术的比较。</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5.3 总节能潜力</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计算与本单位历史最好水平比较、与国内、外同行业能耗先进指标比较节能潜力，综合管理和技术节能潜力，确定企业节能潜力量</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节能潜力明细表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必须量化，计算出各种能源节能潜力的实物量，总节能潜力应折算为标准煤（等价值和当量值）。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c>
          <w:tcPr>
            <w:tcW w:w="370" w:type="pct"/>
            <w:vMerge w:val="continue"/>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keepNext w:val="0"/>
              <w:keepLines w:val="0"/>
              <w:pageBreakBefore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sz w:val="21"/>
                <w:szCs w:val="21"/>
              </w:rPr>
            </w:pP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5.4主要节能技术改造项目建议与评估</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列出节能技术改造项目清单，并汇总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对主要节能技术改造项目技术上和经济上可行性进行简要分析与评估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说明节能技改项目的实施对节能目标完成的作用</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节能技术改造项目汇总表</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对主要节能技术改造项目技术上和经济上可行性进行简要分析与评估；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采用的节能技术应是先进的，应有资金来源说明、预期运行寿命，技术上的保障，计划完成时间节能量和投资回收期和非节能收益（如生产效率提高、减少维护费用等）；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项目节能量合计应分别折算等价值和当量值。</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401" w:hRule="atLeast"/>
        </w:trPr>
        <w:tc>
          <w:tcPr>
            <w:tcW w:w="37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6、审计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结论和建议</w:t>
            </w: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审计结论和建议</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1、对用能单位年节能目标和主要经济技术指标完成情况的评价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2、对用能单位能源管理和节能技术进步状况的评价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3、对各项能耗指标对标结果、设备测试结果、用能单位能源利用状况等结论性意见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4、对法律、法规、条例执行情况的评价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5、建议</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评价要求客观公正、全面准确。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具体要点如下：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1、评价用能单位节能目标完成情况和能源利用水平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2、评价用能单位能耗指标水平（产值、产品及其他指标的合理性评价和对标评价）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3、评价用能单位主要用能设备的运行情况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4、评价淘汰设备、高耗能设备的情况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5、根据审计整体情况提出合理化建议</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2296" w:hRule="atLeast"/>
        </w:trPr>
        <w:tc>
          <w:tcPr>
            <w:tcW w:w="37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附件</w:t>
            </w: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有关文件资料、附图及附表</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1、涉及能源审计单位的有关国家、市、区关于开展能源审计工作通知文件；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2、用能单位报送统计部门的各种产值、能源年报，用能单位能源消耗发票或统计台账等；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3、有资质机构出具的用能设备监测、检测报告，电平衡、热平衡测试报告，设备测试的热平衡表、技术指标、效率、评价建议等。</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除所列3项以外，审计时认为有必要的其他附件也可列入，如审计过程中的原始数据，全部计算过程，能源管理制度文件及执行证据，能源统计、计量相关证明材料，节能改造项目证明材料等。</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570" w:hRule="atLeast"/>
        </w:trPr>
        <w:tc>
          <w:tcPr>
            <w:tcW w:w="37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格式</w:t>
            </w:r>
          </w:p>
        </w:tc>
        <w:tc>
          <w:tcPr>
            <w:tcW w:w="675"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510"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报告格式应符合要求</w:t>
            </w:r>
          </w:p>
        </w:tc>
        <w:tc>
          <w:tcPr>
            <w:tcW w:w="626" w:type="pct"/>
            <w:tcBorders>
              <w:top w:val="single" w:color="auto" w:sz="6" w:space="0"/>
              <w:left w:val="single" w:color="auto" w:sz="6" w:space="0"/>
              <w:bottom w:val="single" w:color="auto" w:sz="6" w:space="0"/>
              <w:right w:val="single" w:color="auto" w:sz="2" w:space="0"/>
            </w:tcBorders>
            <w:noWrap w:val="0"/>
            <w:tcMar>
              <w:top w:w="0" w:type="dxa"/>
              <w:left w:w="57" w:type="dxa"/>
              <w:bottom w:w="0" w:type="dxa"/>
              <w:right w:w="0"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c>
          <w:tcPr>
            <w:tcW w:w="1817" w:type="pct"/>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60" w:type="dxa"/>
            <w:left w:w="60" w:type="dxa"/>
            <w:bottom w:w="60" w:type="dxa"/>
            <w:right w:w="60" w:type="dxa"/>
          </w:tblCellMar>
        </w:tblPrEx>
        <w:trPr>
          <w:trHeight w:val="555" w:hRule="atLeast"/>
        </w:trPr>
        <w:tc>
          <w:tcPr>
            <w:tcW w:w="5000" w:type="pct"/>
            <w:gridSpan w:val="5"/>
            <w:tcBorders>
              <w:top w:val="single" w:color="000000" w:sz="6" w:space="0"/>
              <w:left w:val="single" w:color="000000" w:sz="6" w:space="0"/>
              <w:bottom w:val="single" w:color="000000" w:sz="6" w:space="0"/>
              <w:right w:val="single" w:color="000000" w:sz="6" w:space="0"/>
            </w:tcBorders>
            <w:noWrap w:val="0"/>
            <w:tcMar>
              <w:top w:w="0" w:type="dxa"/>
              <w:left w:w="57" w:type="dxa"/>
              <w:bottom w:w="0" w:type="dxa"/>
              <w:right w:w="57" w:type="dxa"/>
            </w:tcMar>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注：非工业用能单位参考本要求及行业能源管理标准规范执行。</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79" w:lineRule="atLeast"/>
        <w:ind w:left="0" w:right="0" w:firstLine="0"/>
        <w:rPr>
          <w:rFonts w:hint="eastAsia" w:ascii="黑体" w:hAnsi="宋体" w:eastAsia="黑体" w:cs="黑体"/>
          <w:i w:val="0"/>
          <w:caps w:val="0"/>
          <w:color w:val="3A3A3A"/>
          <w:spacing w:val="0"/>
          <w:sz w:val="21"/>
          <w:szCs w:val="21"/>
          <w:shd w:val="clear" w:color="auto" w:fill="FFFFFF"/>
        </w:rPr>
      </w:pPr>
    </w:p>
    <w:p/>
    <w:sectPr>
      <w:headerReference r:id="rId3" w:type="default"/>
      <w:footerReference r:id="rId4" w:type="default"/>
      <w:pgSz w:w="16838" w:h="11906" w:orient="landscape"/>
      <w:pgMar w:top="2154" w:right="1531" w:bottom="2154" w:left="153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2"/>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- 7 -</w:t>
                    </w:r>
                    <w:r>
                      <w:rPr>
                        <w:rFonts w:hint="eastAsia" w:ascii="仿宋_GB2312" w:hAnsi="仿宋_GB2312" w:eastAsia="仿宋_GB2312" w:cs="仿宋_GB2312"/>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wYjY0YTI3ZjA1Y2IzODMzYzBjN2VlMzRkOGE5ZWUifQ=="/>
  </w:docVars>
  <w:rsids>
    <w:rsidRoot w:val="244B68CA"/>
    <w:rsid w:val="17241B84"/>
    <w:rsid w:val="244B68CA"/>
    <w:rsid w:val="252E760B"/>
    <w:rsid w:val="68A079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179</Words>
  <Characters>179</Characters>
  <Lines>0</Lines>
  <Paragraphs>0</Paragraphs>
  <TotalTime>0</TotalTime>
  <ScaleCrop>false</ScaleCrop>
  <LinksUpToDate>false</LinksUpToDate>
  <CharactersWithSpaces>188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2022-08-05T09:09:00Z</dcterms:created>
  <dc:creator>WPS_1628732352</dc:creator>
  <cp:lastModifiedBy>李萱</cp:lastModifiedBy>
  <dcterms:modified xsi:type="dcterms:W3CDTF">2022-08-05T12:57:19Z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5486B9D8DED147EEBF99B13002CE8A24</vt:lpwstr>
  </property>
</Properties>
</file>