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3</w:t>
      </w:r>
    </w:p>
    <w:p>
      <w:pPr>
        <w:spacing w:line="560" w:lineRule="exact"/>
        <w:ind w:left="-718" w:leftChars="-342" w:firstLine="1051" w:firstLineChars="239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能源审计工作开展情况汇总表</w:t>
      </w:r>
    </w:p>
    <w:bookmarkEnd w:id="0"/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1"/>
        </w:rPr>
        <w:t>区节能主管部门名称：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583"/>
        <w:gridCol w:w="1166"/>
        <w:gridCol w:w="1573"/>
        <w:gridCol w:w="1289"/>
        <w:gridCol w:w="1289"/>
        <w:gridCol w:w="1144"/>
        <w:gridCol w:w="1565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一、提交符合要求的能源审计报告的单位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2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审计期</w:t>
            </w:r>
          </w:p>
        </w:tc>
        <w:tc>
          <w:tcPr>
            <w:tcW w:w="57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能源审计报告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提出节能措施（项）</w:t>
            </w:r>
          </w:p>
        </w:tc>
        <w:tc>
          <w:tcPr>
            <w:tcW w:w="9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措施预计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投资额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7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措施实施后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预计年节能量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（吨标准煤）</w:t>
            </w:r>
          </w:p>
        </w:tc>
        <w:tc>
          <w:tcPr>
            <w:tcW w:w="45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（计划内/计划外）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管理节能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措施（项）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技术节能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措施（项）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二、有正当理由未实施能源审计的单位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未实施原因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40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三、无正当理由未实施能源审计的单位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13" w:type="pct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713" w:type="pct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tabs>
          <w:tab w:val="left" w:pos="7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eastAsia="宋体"/>
          <w:color w:val="FF0000"/>
          <w:sz w:val="21"/>
          <w:highlight w:val="none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1984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7D1B2825"/>
    <w:rsid w:val="612754C0"/>
    <w:rsid w:val="7D1B2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4921</Words>
  <Characters>5014</Characters>
  <Lines>0</Lines>
  <Paragraphs>0</Paragraphs>
  <TotalTime>0</TotalTime>
  <ScaleCrop>false</ScaleCrop>
  <LinksUpToDate>false</LinksUpToDate>
  <CharactersWithSpaces>5031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2023-06-20T07:52:00Z</dcterms:created>
  <dc:creator>WPS_1628732352</dc:creator>
  <cp:lastModifiedBy>WPS_1628732352</cp:lastModifiedBy>
  <dcterms:modified xsi:type="dcterms:W3CDTF">2023-06-20T07:54:31Z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759455D8D9104CA5BF53C5AD8ED73508_13</vt:lpwstr>
  </property>
</Properties>
</file>