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68" w:rsidRDefault="00BA066D" w:rsidP="0094320F">
      <w:pPr>
        <w:spacing w:line="560" w:lineRule="exact"/>
        <w:jc w:val="both"/>
        <w:rPr>
          <w:rFonts w:ascii="黑体" w:eastAsia="黑体" w:hAnsi="黑体"/>
          <w:sz w:val="32"/>
          <w:szCs w:val="32"/>
        </w:rPr>
      </w:pPr>
      <w:r w:rsidRPr="00DA4003">
        <w:rPr>
          <w:rFonts w:ascii="黑体" w:eastAsia="黑体" w:hint="eastAsia"/>
          <w:sz w:val="32"/>
          <w:szCs w:val="32"/>
        </w:rPr>
        <w:t>津发改××</w:t>
      </w:r>
      <w:r w:rsidRPr="00DA4003">
        <w:rPr>
          <w:rFonts w:ascii="黑体" w:eastAsia="黑体" w:hint="eastAsia"/>
          <w:sz w:val="32"/>
        </w:rPr>
        <w:t>〔201</w:t>
      </w:r>
      <w:r>
        <w:rPr>
          <w:rFonts w:ascii="黑体" w:eastAsia="黑体" w:hint="eastAsia"/>
          <w:sz w:val="32"/>
        </w:rPr>
        <w:t>9</w:t>
      </w:r>
      <w:r w:rsidRPr="00DA4003">
        <w:rPr>
          <w:rFonts w:ascii="黑体" w:eastAsia="黑体" w:hint="eastAsia"/>
          <w:sz w:val="32"/>
        </w:rPr>
        <w:t>〕</w:t>
      </w:r>
      <w:r w:rsidRPr="00DA4003">
        <w:rPr>
          <w:rFonts w:ascii="黑体" w:eastAsia="黑体" w:hint="eastAsia"/>
          <w:sz w:val="32"/>
          <w:szCs w:val="32"/>
        </w:rPr>
        <w:t>××号的附件</w:t>
      </w:r>
      <w:r>
        <w:rPr>
          <w:rFonts w:ascii="黑体" w:eastAsia="黑体" w:hint="eastAsia"/>
          <w:sz w:val="32"/>
          <w:szCs w:val="32"/>
        </w:rPr>
        <w:t>2</w:t>
      </w:r>
    </w:p>
    <w:p w:rsidR="007A701A" w:rsidRPr="007544CE" w:rsidRDefault="007A701A" w:rsidP="0094320F">
      <w:pPr>
        <w:spacing w:line="560" w:lineRule="exact"/>
        <w:jc w:val="both"/>
        <w:rPr>
          <w:rFonts w:ascii="黑体" w:eastAsia="黑体" w:hAnsi="黑体"/>
          <w:sz w:val="32"/>
          <w:szCs w:val="32"/>
        </w:rPr>
      </w:pPr>
    </w:p>
    <w:p w:rsidR="00492240" w:rsidRPr="007544CE" w:rsidRDefault="00114B25" w:rsidP="0094320F">
      <w:pPr>
        <w:spacing w:line="560" w:lineRule="exact"/>
        <w:jc w:val="center"/>
        <w:rPr>
          <w:rFonts w:ascii="方正小标宋简体" w:eastAsia="方正小标宋简体" w:hAnsi="黑体"/>
          <w:sz w:val="44"/>
          <w:szCs w:val="44"/>
        </w:rPr>
      </w:pPr>
      <w:r w:rsidRPr="007544CE">
        <w:rPr>
          <w:rFonts w:ascii="方正小标宋简体" w:eastAsia="方正小标宋简体" w:hAnsi="黑体" w:hint="eastAsia"/>
          <w:sz w:val="44"/>
          <w:szCs w:val="44"/>
        </w:rPr>
        <w:t>天津市民心工程</w:t>
      </w:r>
      <w:r w:rsidR="00785549" w:rsidRPr="007544CE">
        <w:rPr>
          <w:rFonts w:ascii="方正小标宋简体" w:eastAsia="方正小标宋简体" w:hAnsi="黑体" w:hint="eastAsia"/>
          <w:sz w:val="44"/>
          <w:szCs w:val="44"/>
        </w:rPr>
        <w:t xml:space="preserve"> </w:t>
      </w:r>
      <w:r w:rsidRPr="007544CE">
        <w:rPr>
          <w:rFonts w:ascii="方正小标宋简体" w:eastAsia="方正小标宋简体" w:hAnsi="黑体" w:hint="eastAsia"/>
          <w:sz w:val="44"/>
          <w:szCs w:val="44"/>
        </w:rPr>
        <w:t>“居民小区</w:t>
      </w:r>
      <w:r w:rsidR="007A701A">
        <w:rPr>
          <w:rFonts w:ascii="方正小标宋简体" w:eastAsia="方正小标宋简体" w:hAnsi="黑体" w:hint="eastAsia"/>
          <w:sz w:val="44"/>
          <w:szCs w:val="44"/>
        </w:rPr>
        <w:t>公共充电桩</w:t>
      </w:r>
      <w:r w:rsidR="005937E0">
        <w:rPr>
          <w:rFonts w:ascii="方正小标宋简体" w:eastAsia="方正小标宋简体" w:hAnsi="黑体" w:hint="eastAsia"/>
          <w:sz w:val="44"/>
          <w:szCs w:val="44"/>
        </w:rPr>
        <w:t>建设</w:t>
      </w:r>
      <w:r w:rsidRPr="007544CE">
        <w:rPr>
          <w:rFonts w:ascii="方正小标宋简体" w:eastAsia="方正小标宋简体" w:hAnsi="黑体" w:hint="eastAsia"/>
          <w:sz w:val="44"/>
          <w:szCs w:val="44"/>
        </w:rPr>
        <w:t>”</w:t>
      </w:r>
      <w:r w:rsidR="00785549">
        <w:rPr>
          <w:rFonts w:ascii="方正小标宋简体" w:eastAsia="方正小标宋简体" w:hAnsi="黑体" w:hint="eastAsia"/>
          <w:sz w:val="44"/>
          <w:szCs w:val="44"/>
        </w:rPr>
        <w:t>推荐</w:t>
      </w:r>
      <w:r w:rsidRPr="007544CE">
        <w:rPr>
          <w:rFonts w:ascii="方正小标宋简体" w:eastAsia="方正小标宋简体" w:hAnsi="黑体" w:hint="eastAsia"/>
          <w:sz w:val="44"/>
          <w:szCs w:val="44"/>
        </w:rPr>
        <w:t>服务协议</w:t>
      </w:r>
    </w:p>
    <w:p w:rsidR="00492240" w:rsidRDefault="00492240" w:rsidP="0094320F">
      <w:pPr>
        <w:spacing w:line="560" w:lineRule="exact"/>
        <w:ind w:firstLineChars="600" w:firstLine="1928"/>
        <w:jc w:val="both"/>
        <w:rPr>
          <w:rFonts w:ascii="黑体" w:eastAsia="黑体" w:hAnsi="黑体"/>
          <w:b/>
          <w:sz w:val="32"/>
          <w:szCs w:val="32"/>
        </w:rPr>
      </w:pPr>
    </w:p>
    <w:p w:rsidR="00492240" w:rsidRPr="002A0D80" w:rsidRDefault="00114B25" w:rsidP="0094320F">
      <w:pPr>
        <w:spacing w:line="560" w:lineRule="exact"/>
        <w:rPr>
          <w:rFonts w:ascii="仿宋_GB2312" w:eastAsia="仿宋_GB2312" w:hAnsi="宋体"/>
          <w:b/>
          <w:sz w:val="32"/>
          <w:szCs w:val="32"/>
        </w:rPr>
      </w:pPr>
      <w:r w:rsidRPr="002A0D80">
        <w:rPr>
          <w:rFonts w:ascii="仿宋_GB2312" w:eastAsia="仿宋_GB2312" w:hAnsi="宋体" w:hint="eastAsia"/>
          <w:b/>
          <w:sz w:val="32"/>
          <w:szCs w:val="32"/>
        </w:rPr>
        <w:t>甲方（物业方或街道）：</w:t>
      </w:r>
      <w:bookmarkStart w:id="0" w:name="_GoBack"/>
      <w:bookmarkEnd w:id="0"/>
    </w:p>
    <w:p w:rsidR="00492240" w:rsidRPr="002A0D80" w:rsidRDefault="00492240" w:rsidP="0094320F">
      <w:pPr>
        <w:spacing w:line="560" w:lineRule="exact"/>
        <w:rPr>
          <w:rFonts w:ascii="仿宋_GB2312" w:eastAsia="仿宋_GB2312" w:hAnsi="宋体"/>
          <w:b/>
          <w:sz w:val="32"/>
          <w:szCs w:val="32"/>
        </w:rPr>
      </w:pPr>
    </w:p>
    <w:p w:rsidR="00492240" w:rsidRPr="002A0D80" w:rsidRDefault="00114B25" w:rsidP="0094320F">
      <w:pPr>
        <w:tabs>
          <w:tab w:val="left" w:pos="5835"/>
        </w:tabs>
        <w:spacing w:line="560" w:lineRule="exact"/>
        <w:rPr>
          <w:rFonts w:ascii="仿宋_GB2312" w:eastAsia="仿宋_GB2312" w:hAnsi="宋体"/>
          <w:b/>
          <w:sz w:val="32"/>
          <w:szCs w:val="32"/>
        </w:rPr>
      </w:pPr>
      <w:r w:rsidRPr="002A0D80">
        <w:rPr>
          <w:rFonts w:ascii="仿宋_GB2312" w:eastAsia="仿宋_GB2312" w:hAnsi="宋体" w:hint="eastAsia"/>
          <w:b/>
          <w:sz w:val="32"/>
          <w:szCs w:val="32"/>
        </w:rPr>
        <w:t>乙方（充电设施运营企业）：</w:t>
      </w:r>
    </w:p>
    <w:p w:rsidR="00492240" w:rsidRPr="002A0D80" w:rsidRDefault="00492240" w:rsidP="0094320F">
      <w:pPr>
        <w:tabs>
          <w:tab w:val="left" w:pos="5835"/>
        </w:tabs>
        <w:spacing w:line="560" w:lineRule="exact"/>
        <w:rPr>
          <w:rFonts w:ascii="仿宋_GB2312" w:eastAsia="仿宋_GB2312" w:hAnsi="宋体"/>
          <w:b/>
          <w:sz w:val="32"/>
          <w:szCs w:val="32"/>
        </w:rPr>
      </w:pPr>
    </w:p>
    <w:p w:rsidR="00492240" w:rsidRPr="002A0D80" w:rsidRDefault="00114B25" w:rsidP="002A0D80">
      <w:pPr>
        <w:pStyle w:val="1"/>
        <w:spacing w:line="560" w:lineRule="exact"/>
        <w:ind w:firstLine="640"/>
        <w:rPr>
          <w:rFonts w:ascii="仿宋_GB2312" w:eastAsia="仿宋_GB2312" w:hAnsi="宋体"/>
          <w:sz w:val="32"/>
          <w:szCs w:val="32"/>
        </w:rPr>
      </w:pPr>
      <w:r w:rsidRPr="002A0D80">
        <w:rPr>
          <w:rFonts w:ascii="仿宋_GB2312" w:eastAsia="仿宋_GB2312" w:hAnsi="宋体" w:hint="eastAsia"/>
          <w:sz w:val="32"/>
          <w:szCs w:val="32"/>
        </w:rPr>
        <w:t>根据</w:t>
      </w:r>
      <w:r w:rsidR="00354468" w:rsidRPr="002A0D80">
        <w:rPr>
          <w:rFonts w:ascii="仿宋_GB2312" w:eastAsia="仿宋_GB2312" w:hAnsi="宋体" w:hint="eastAsia"/>
          <w:sz w:val="32"/>
          <w:szCs w:val="32"/>
        </w:rPr>
        <w:t>我市关于小区公共充电桩建设相关要求</w:t>
      </w:r>
      <w:r w:rsidRPr="002A0D80">
        <w:rPr>
          <w:rFonts w:ascii="仿宋_GB2312" w:eastAsia="仿宋_GB2312" w:hAnsi="宋体" w:hint="eastAsia"/>
          <w:sz w:val="32"/>
          <w:szCs w:val="32"/>
        </w:rPr>
        <w:t>，</w:t>
      </w:r>
      <w:r w:rsidR="00354468" w:rsidRPr="002A0D80">
        <w:rPr>
          <w:rFonts w:ascii="仿宋_GB2312" w:eastAsia="仿宋_GB2312" w:hAnsi="宋体" w:hint="eastAsia"/>
          <w:sz w:val="32"/>
          <w:szCs w:val="32"/>
        </w:rPr>
        <w:t>经双方友好协商，</w:t>
      </w:r>
      <w:r w:rsidRPr="002A0D80">
        <w:rPr>
          <w:rFonts w:ascii="仿宋_GB2312" w:eastAsia="仿宋_GB2312" w:hAnsi="宋体" w:hint="eastAsia"/>
          <w:sz w:val="32"/>
          <w:szCs w:val="32"/>
        </w:rPr>
        <w:t>约定如下：</w:t>
      </w:r>
    </w:p>
    <w:p w:rsidR="00492240" w:rsidRPr="002A0D80" w:rsidRDefault="00114B25" w:rsidP="0094320F">
      <w:pPr>
        <w:pStyle w:val="-11"/>
        <w:numPr>
          <w:ilvl w:val="0"/>
          <w:numId w:val="1"/>
        </w:numPr>
        <w:spacing w:before="240" w:line="560" w:lineRule="exact"/>
        <w:ind w:firstLineChars="0"/>
        <w:rPr>
          <w:rFonts w:ascii="仿宋_GB2312" w:eastAsia="仿宋_GB2312" w:hAnsi="黑体"/>
          <w:b/>
          <w:sz w:val="32"/>
          <w:szCs w:val="32"/>
        </w:rPr>
      </w:pPr>
      <w:r w:rsidRPr="002A0D80">
        <w:rPr>
          <w:rFonts w:ascii="仿宋_GB2312" w:eastAsia="仿宋_GB2312" w:hAnsi="黑体" w:hint="eastAsia"/>
          <w:b/>
          <w:sz w:val="32"/>
          <w:szCs w:val="32"/>
        </w:rPr>
        <w:t>充电系统安装地点和充电系统主要设备配置</w:t>
      </w:r>
    </w:p>
    <w:p w:rsidR="00492240" w:rsidRPr="002A0D80" w:rsidRDefault="00114B25" w:rsidP="0094320F">
      <w:pPr>
        <w:pStyle w:val="-11"/>
        <w:adjustRightInd w:val="0"/>
        <w:snapToGrid w:val="0"/>
        <w:spacing w:before="120" w:line="560" w:lineRule="exact"/>
        <w:ind w:firstLineChars="0" w:firstLine="0"/>
        <w:rPr>
          <w:rFonts w:ascii="仿宋_GB2312" w:eastAsia="仿宋_GB2312" w:hAnsi="宋体"/>
          <w:sz w:val="32"/>
          <w:szCs w:val="32"/>
        </w:rPr>
      </w:pPr>
      <w:r w:rsidRPr="002A0D80">
        <w:rPr>
          <w:rFonts w:ascii="仿宋_GB2312" w:eastAsia="仿宋_GB2312" w:hAnsi="宋体" w:hint="eastAsia"/>
          <w:sz w:val="32"/>
          <w:szCs w:val="32"/>
        </w:rPr>
        <w:t>1.1乙方在小区公共停车位配建个7KW交流充电桩，负责充电系统的设施建设和运维，保证充电设备的正常使用。</w:t>
      </w:r>
    </w:p>
    <w:p w:rsidR="00492240" w:rsidRPr="002A0D80" w:rsidRDefault="00114B25" w:rsidP="0094320F">
      <w:pPr>
        <w:pStyle w:val="1"/>
        <w:spacing w:before="240" w:line="560" w:lineRule="exact"/>
        <w:ind w:firstLineChars="0" w:firstLine="0"/>
        <w:rPr>
          <w:rFonts w:ascii="仿宋_GB2312" w:eastAsia="仿宋_GB2312" w:hAnsi="宋体"/>
          <w:sz w:val="32"/>
          <w:szCs w:val="32"/>
        </w:rPr>
      </w:pPr>
      <w:r w:rsidRPr="002A0D80">
        <w:rPr>
          <w:rFonts w:ascii="仿宋_GB2312" w:eastAsia="仿宋_GB2312" w:hAnsi="宋体" w:hint="eastAsia"/>
          <w:sz w:val="32"/>
          <w:szCs w:val="32"/>
        </w:rPr>
        <w:t>1.2充电系统的详细配置和建设方案详见本合同附件《天津市民心工程XX小区电动汽车充电系统技术协议书》。</w:t>
      </w:r>
    </w:p>
    <w:p w:rsidR="00492240" w:rsidRPr="002A0D80" w:rsidRDefault="00114B25" w:rsidP="0094320F">
      <w:pPr>
        <w:pStyle w:val="-11"/>
        <w:numPr>
          <w:ilvl w:val="0"/>
          <w:numId w:val="1"/>
        </w:numPr>
        <w:spacing w:before="240" w:line="560" w:lineRule="exact"/>
        <w:ind w:firstLineChars="0"/>
        <w:rPr>
          <w:rFonts w:ascii="仿宋_GB2312" w:eastAsia="仿宋_GB2312" w:hAnsi="黑体"/>
          <w:b/>
          <w:sz w:val="32"/>
          <w:szCs w:val="32"/>
        </w:rPr>
      </w:pPr>
      <w:r w:rsidRPr="002A0D80">
        <w:rPr>
          <w:rFonts w:ascii="仿宋_GB2312" w:eastAsia="仿宋_GB2312" w:hAnsi="黑体" w:hint="eastAsia"/>
          <w:b/>
          <w:sz w:val="32"/>
          <w:szCs w:val="32"/>
        </w:rPr>
        <w:t>服务期限</w:t>
      </w:r>
    </w:p>
    <w:p w:rsidR="00492240" w:rsidRPr="002A0D80" w:rsidRDefault="00114B25" w:rsidP="002A0D80">
      <w:pPr>
        <w:pStyle w:val="-11"/>
        <w:numPr>
          <w:ilvl w:val="255"/>
          <w:numId w:val="0"/>
        </w:numPr>
        <w:spacing w:before="240" w:line="560" w:lineRule="exact"/>
        <w:ind w:firstLineChars="200" w:firstLine="640"/>
        <w:rPr>
          <w:rFonts w:ascii="仿宋_GB2312" w:eastAsia="仿宋_GB2312" w:hAnsi="黑体"/>
          <w:b/>
          <w:sz w:val="32"/>
          <w:szCs w:val="32"/>
        </w:rPr>
      </w:pPr>
      <w:r w:rsidRPr="002A0D80">
        <w:rPr>
          <w:rFonts w:ascii="仿宋_GB2312" w:eastAsia="仿宋_GB2312" w:hAnsi="宋体" w:hint="eastAsia"/>
          <w:kern w:val="0"/>
          <w:sz w:val="32"/>
          <w:szCs w:val="32"/>
        </w:rPr>
        <w:t>乙方承诺:充电站自年月日建成之日起，服务期限至少三年。</w:t>
      </w:r>
    </w:p>
    <w:p w:rsidR="00492240" w:rsidRPr="002A0D80" w:rsidRDefault="00114B25" w:rsidP="0094320F">
      <w:pPr>
        <w:pStyle w:val="-11"/>
        <w:numPr>
          <w:ilvl w:val="0"/>
          <w:numId w:val="1"/>
        </w:numPr>
        <w:spacing w:before="240" w:line="560" w:lineRule="exact"/>
        <w:ind w:firstLineChars="0"/>
        <w:rPr>
          <w:rFonts w:ascii="仿宋_GB2312" w:eastAsia="仿宋_GB2312" w:hAnsi="黑体"/>
          <w:b/>
          <w:sz w:val="32"/>
          <w:szCs w:val="32"/>
        </w:rPr>
      </w:pPr>
      <w:r w:rsidRPr="002A0D80">
        <w:rPr>
          <w:rFonts w:ascii="仿宋_GB2312" w:eastAsia="仿宋_GB2312" w:hAnsi="黑体" w:hint="eastAsia"/>
          <w:b/>
          <w:sz w:val="32"/>
          <w:szCs w:val="32"/>
        </w:rPr>
        <w:t>费用标准</w:t>
      </w:r>
    </w:p>
    <w:p w:rsidR="00492240" w:rsidRPr="002A0D80" w:rsidRDefault="00114B25" w:rsidP="0094320F">
      <w:pPr>
        <w:pStyle w:val="-11"/>
        <w:adjustRightInd w:val="0"/>
        <w:snapToGrid w:val="0"/>
        <w:spacing w:before="120" w:line="560" w:lineRule="exact"/>
        <w:ind w:firstLineChars="0" w:firstLine="0"/>
        <w:rPr>
          <w:rFonts w:ascii="仿宋_GB2312" w:eastAsia="仿宋_GB2312" w:hAnsi="宋体"/>
          <w:sz w:val="32"/>
          <w:szCs w:val="32"/>
        </w:rPr>
      </w:pPr>
      <w:r w:rsidRPr="002A0D80">
        <w:rPr>
          <w:rFonts w:ascii="仿宋_GB2312" w:eastAsia="仿宋_GB2312" w:hAnsi="宋体" w:hint="eastAsia"/>
          <w:sz w:val="32"/>
          <w:szCs w:val="32"/>
        </w:rPr>
        <w:t>3.1自充电站通电运营之日起乙方向充电系统的使用者收取充电产生的电费和充电服务费；</w:t>
      </w:r>
    </w:p>
    <w:p w:rsidR="00492240" w:rsidRPr="002A0D80" w:rsidRDefault="00114B25" w:rsidP="0094320F">
      <w:pPr>
        <w:pStyle w:val="-11"/>
        <w:adjustRightInd w:val="0"/>
        <w:snapToGrid w:val="0"/>
        <w:spacing w:before="120" w:line="560" w:lineRule="exact"/>
        <w:ind w:firstLineChars="0" w:firstLine="0"/>
        <w:rPr>
          <w:rFonts w:ascii="仿宋_GB2312" w:eastAsia="仿宋_GB2312" w:hAnsi="宋体"/>
          <w:color w:val="FF0000"/>
          <w:sz w:val="32"/>
          <w:szCs w:val="32"/>
          <w:highlight w:val="yellow"/>
        </w:rPr>
      </w:pPr>
      <w:r w:rsidRPr="002A0D80">
        <w:rPr>
          <w:rFonts w:ascii="仿宋_GB2312" w:eastAsia="仿宋_GB2312" w:hAnsi="宋体" w:hint="eastAsia"/>
          <w:sz w:val="32"/>
          <w:szCs w:val="32"/>
        </w:rPr>
        <w:lastRenderedPageBreak/>
        <w:t>3.2充电电费按天津市最新电网销售价格，执行大工业尖峰平谷电价，充电服务费执行每度电收取0.4元；乙方保证对充电服务费的定价不违反相关法律、法规的规定，并按照政府相关规定执行；</w:t>
      </w:r>
    </w:p>
    <w:p w:rsidR="00492240" w:rsidRPr="002A0D80" w:rsidRDefault="00114B25" w:rsidP="0094320F">
      <w:pPr>
        <w:pStyle w:val="-11"/>
        <w:numPr>
          <w:ilvl w:val="0"/>
          <w:numId w:val="1"/>
        </w:numPr>
        <w:spacing w:before="240" w:line="560" w:lineRule="exact"/>
        <w:ind w:firstLineChars="0"/>
        <w:rPr>
          <w:rFonts w:ascii="仿宋_GB2312" w:eastAsia="仿宋_GB2312" w:hAnsi="黑体"/>
          <w:b/>
          <w:sz w:val="32"/>
          <w:szCs w:val="32"/>
        </w:rPr>
      </w:pPr>
      <w:r w:rsidRPr="002A0D80">
        <w:rPr>
          <w:rFonts w:ascii="仿宋_GB2312" w:eastAsia="仿宋_GB2312" w:hAnsi="黑体" w:hint="eastAsia"/>
          <w:b/>
          <w:sz w:val="32"/>
          <w:szCs w:val="32"/>
        </w:rPr>
        <w:t>双方权利与义务</w:t>
      </w:r>
    </w:p>
    <w:p w:rsidR="00492240" w:rsidRPr="002A0D80" w:rsidRDefault="00114B25" w:rsidP="0094320F">
      <w:pPr>
        <w:pStyle w:val="-11"/>
        <w:numPr>
          <w:ilvl w:val="255"/>
          <w:numId w:val="0"/>
        </w:numPr>
        <w:adjustRightInd w:val="0"/>
        <w:snapToGrid w:val="0"/>
        <w:spacing w:before="120" w:line="560" w:lineRule="exact"/>
        <w:rPr>
          <w:rFonts w:ascii="仿宋_GB2312" w:eastAsia="仿宋_GB2312" w:hAnsi="黑体"/>
          <w:b/>
          <w:sz w:val="32"/>
          <w:szCs w:val="32"/>
        </w:rPr>
      </w:pPr>
      <w:r w:rsidRPr="002A0D80">
        <w:rPr>
          <w:rFonts w:ascii="仿宋_GB2312" w:eastAsia="仿宋_GB2312" w:hAnsi="黑体" w:hint="eastAsia"/>
          <w:b/>
          <w:sz w:val="32"/>
          <w:szCs w:val="32"/>
        </w:rPr>
        <w:t>4.1甲方的权利和义务</w:t>
      </w:r>
    </w:p>
    <w:p w:rsidR="00492240" w:rsidRPr="002A0D80" w:rsidRDefault="00114B25" w:rsidP="002A0D80">
      <w:pPr>
        <w:pStyle w:val="-11"/>
        <w:adjustRightInd w:val="0"/>
        <w:snapToGrid w:val="0"/>
        <w:spacing w:before="120" w:line="560" w:lineRule="exact"/>
        <w:ind w:firstLine="640"/>
        <w:rPr>
          <w:rFonts w:ascii="仿宋_GB2312" w:eastAsia="仿宋_GB2312" w:hAnsi="宋体"/>
          <w:sz w:val="32"/>
          <w:szCs w:val="32"/>
        </w:rPr>
      </w:pPr>
      <w:r w:rsidRPr="002A0D80">
        <w:rPr>
          <w:rFonts w:ascii="仿宋_GB2312" w:eastAsia="仿宋_GB2312" w:hAnsi="宋体" w:hint="eastAsia"/>
          <w:sz w:val="32"/>
          <w:szCs w:val="32"/>
        </w:rPr>
        <w:t>甲方按照政府要求，协助乙方完成电力报装（或电源接引）、充电站建设等事宜。</w:t>
      </w:r>
    </w:p>
    <w:p w:rsidR="00492240" w:rsidRPr="002A0D80" w:rsidRDefault="00114B25" w:rsidP="0094320F">
      <w:pPr>
        <w:pStyle w:val="-11"/>
        <w:numPr>
          <w:ilvl w:val="255"/>
          <w:numId w:val="0"/>
        </w:numPr>
        <w:adjustRightInd w:val="0"/>
        <w:snapToGrid w:val="0"/>
        <w:spacing w:before="120" w:line="560" w:lineRule="exact"/>
        <w:rPr>
          <w:rFonts w:ascii="仿宋_GB2312" w:eastAsia="仿宋_GB2312" w:hAnsi="黑体"/>
          <w:b/>
          <w:sz w:val="32"/>
          <w:szCs w:val="32"/>
        </w:rPr>
      </w:pPr>
      <w:r w:rsidRPr="002A0D80">
        <w:rPr>
          <w:rFonts w:ascii="仿宋_GB2312" w:eastAsia="仿宋_GB2312" w:hAnsi="黑体" w:hint="eastAsia"/>
          <w:b/>
          <w:sz w:val="32"/>
          <w:szCs w:val="32"/>
        </w:rPr>
        <w:t>4.2乙方权利与义务</w:t>
      </w:r>
    </w:p>
    <w:p w:rsidR="00492240" w:rsidRPr="002A0D80" w:rsidRDefault="00114B25" w:rsidP="002A0D80">
      <w:pPr>
        <w:pStyle w:val="-11"/>
        <w:adjustRightInd w:val="0"/>
        <w:snapToGrid w:val="0"/>
        <w:spacing w:before="120" w:line="560" w:lineRule="exact"/>
        <w:ind w:firstLine="640"/>
        <w:rPr>
          <w:rFonts w:ascii="仿宋_GB2312" w:eastAsia="仿宋_GB2312" w:hAnsi="黑体"/>
          <w:b/>
          <w:sz w:val="32"/>
          <w:szCs w:val="32"/>
        </w:rPr>
      </w:pPr>
      <w:r w:rsidRPr="002A0D80">
        <w:rPr>
          <w:rFonts w:ascii="仿宋_GB2312" w:eastAsia="仿宋_GB2312" w:hAnsi="宋体" w:hint="eastAsia"/>
          <w:sz w:val="32"/>
          <w:szCs w:val="32"/>
        </w:rPr>
        <w:t>乙方按照国家相关法律法规和行业标准，负责充电站的建设、运维服务工作，保证设备正常运行和充电系统在安全方面的可靠性。因充电系统原因造成的第三方损害，由乙方负责赔偿；</w:t>
      </w:r>
    </w:p>
    <w:p w:rsidR="00492240" w:rsidRPr="002A0D80" w:rsidRDefault="00114B25" w:rsidP="0094320F">
      <w:pPr>
        <w:pStyle w:val="-11"/>
        <w:numPr>
          <w:ilvl w:val="0"/>
          <w:numId w:val="1"/>
        </w:numPr>
        <w:spacing w:before="240" w:line="560" w:lineRule="exact"/>
        <w:ind w:firstLineChars="0"/>
        <w:rPr>
          <w:rFonts w:ascii="仿宋_GB2312" w:eastAsia="仿宋_GB2312" w:hAnsi="黑体"/>
          <w:b/>
          <w:sz w:val="32"/>
          <w:szCs w:val="32"/>
        </w:rPr>
      </w:pPr>
      <w:r w:rsidRPr="002A0D80">
        <w:rPr>
          <w:rFonts w:ascii="仿宋_GB2312" w:eastAsia="仿宋_GB2312" w:hAnsi="黑体" w:hint="eastAsia"/>
          <w:b/>
          <w:sz w:val="32"/>
          <w:szCs w:val="32"/>
        </w:rPr>
        <w:t>其它</w:t>
      </w:r>
    </w:p>
    <w:p w:rsidR="00492240" w:rsidRPr="002A0D80" w:rsidRDefault="00114B25" w:rsidP="0094320F">
      <w:pPr>
        <w:pStyle w:val="-11"/>
        <w:numPr>
          <w:ilvl w:val="255"/>
          <w:numId w:val="0"/>
        </w:numPr>
        <w:adjustRightInd w:val="0"/>
        <w:snapToGrid w:val="0"/>
        <w:spacing w:before="240" w:line="560" w:lineRule="exact"/>
        <w:rPr>
          <w:rFonts w:ascii="仿宋_GB2312" w:eastAsia="仿宋_GB2312" w:hAnsi="宋体"/>
          <w:sz w:val="32"/>
          <w:szCs w:val="32"/>
        </w:rPr>
      </w:pPr>
      <w:r w:rsidRPr="002A0D80">
        <w:rPr>
          <w:rFonts w:ascii="仿宋_GB2312" w:eastAsia="仿宋_GB2312" w:hAnsi="宋体" w:hint="eastAsia"/>
          <w:sz w:val="32"/>
          <w:szCs w:val="32"/>
        </w:rPr>
        <w:t>5.1本合同及其合同附件均为不可分割的组成部分，具有同等法律效力；</w:t>
      </w:r>
    </w:p>
    <w:p w:rsidR="00492240" w:rsidRPr="002A0D80" w:rsidRDefault="00114B25" w:rsidP="0094320F">
      <w:pPr>
        <w:pStyle w:val="-11"/>
        <w:adjustRightInd w:val="0"/>
        <w:snapToGrid w:val="0"/>
        <w:spacing w:before="240" w:line="560" w:lineRule="exact"/>
        <w:ind w:firstLineChars="0" w:firstLine="0"/>
        <w:rPr>
          <w:rFonts w:ascii="仿宋_GB2312" w:eastAsia="仿宋_GB2312" w:hAnsi="宋体"/>
          <w:sz w:val="32"/>
          <w:szCs w:val="32"/>
          <w:highlight w:val="yellow"/>
        </w:rPr>
      </w:pPr>
      <w:r w:rsidRPr="002A0D80">
        <w:rPr>
          <w:rFonts w:ascii="仿宋_GB2312" w:eastAsia="仿宋_GB2312" w:hAnsi="宋体" w:hint="eastAsia"/>
          <w:sz w:val="32"/>
          <w:szCs w:val="32"/>
        </w:rPr>
        <w:t>5.2其他约定：</w:t>
      </w:r>
    </w:p>
    <w:p w:rsidR="00492240" w:rsidRPr="002A0D80" w:rsidRDefault="00492240" w:rsidP="0094320F">
      <w:pPr>
        <w:pStyle w:val="-11"/>
        <w:adjustRightInd w:val="0"/>
        <w:snapToGrid w:val="0"/>
        <w:spacing w:before="240" w:line="560" w:lineRule="exact"/>
        <w:ind w:firstLineChars="0" w:firstLine="0"/>
        <w:rPr>
          <w:rFonts w:ascii="仿宋_GB2312" w:eastAsia="仿宋_GB2312" w:hAnsi="宋体"/>
          <w:sz w:val="32"/>
          <w:szCs w:val="32"/>
        </w:rPr>
      </w:pPr>
    </w:p>
    <w:p w:rsidR="00492240" w:rsidRPr="002A0D80" w:rsidRDefault="00114B25" w:rsidP="0094320F">
      <w:pPr>
        <w:pStyle w:val="-11"/>
        <w:numPr>
          <w:ilvl w:val="255"/>
          <w:numId w:val="0"/>
        </w:numPr>
        <w:adjustRightInd w:val="0"/>
        <w:snapToGrid w:val="0"/>
        <w:spacing w:before="240" w:line="560" w:lineRule="exact"/>
        <w:rPr>
          <w:rFonts w:ascii="仿宋_GB2312" w:eastAsia="仿宋_GB2312" w:hAnsi="宋体"/>
          <w:sz w:val="32"/>
          <w:szCs w:val="32"/>
        </w:rPr>
      </w:pPr>
      <w:r w:rsidRPr="002A0D80">
        <w:rPr>
          <w:rFonts w:ascii="仿宋_GB2312" w:eastAsia="仿宋_GB2312" w:hAnsi="宋体" w:hint="eastAsia"/>
          <w:sz w:val="32"/>
          <w:szCs w:val="32"/>
        </w:rPr>
        <w:t>5.3本合同自双方签字盖章之日起生效；本合同一式陆份，甲乙双方各执叁份，具有同等法律效力。</w:t>
      </w:r>
    </w:p>
    <w:p w:rsidR="00492240" w:rsidRPr="002A0D80" w:rsidRDefault="00114B25" w:rsidP="0094320F">
      <w:pPr>
        <w:pStyle w:val="-11"/>
        <w:numPr>
          <w:ilvl w:val="255"/>
          <w:numId w:val="0"/>
        </w:numPr>
        <w:adjustRightInd w:val="0"/>
        <w:snapToGrid w:val="0"/>
        <w:spacing w:before="240" w:line="560" w:lineRule="exact"/>
        <w:rPr>
          <w:rFonts w:ascii="仿宋_GB2312" w:eastAsia="仿宋_GB2312" w:hAnsi="宋体"/>
          <w:sz w:val="32"/>
          <w:szCs w:val="32"/>
        </w:rPr>
      </w:pPr>
      <w:r w:rsidRPr="002A0D80">
        <w:rPr>
          <w:rFonts w:ascii="仿宋_GB2312" w:eastAsia="仿宋_GB2312" w:hAnsi="宋体" w:hint="eastAsia"/>
          <w:sz w:val="32"/>
          <w:szCs w:val="32"/>
        </w:rPr>
        <w:lastRenderedPageBreak/>
        <w:t>以下无正文！</w:t>
      </w:r>
    </w:p>
    <w:p w:rsidR="00492240" w:rsidRPr="00AE6BD5" w:rsidRDefault="00492240" w:rsidP="0094320F">
      <w:pPr>
        <w:pStyle w:val="-11"/>
        <w:numPr>
          <w:ilvl w:val="255"/>
          <w:numId w:val="0"/>
        </w:numPr>
        <w:snapToGrid w:val="0"/>
        <w:spacing w:before="240" w:line="560" w:lineRule="exact"/>
        <w:rPr>
          <w:rFonts w:ascii="仿宋_GB2312" w:eastAsia="仿宋_GB2312" w:hAnsi="宋体"/>
          <w:sz w:val="32"/>
          <w:szCs w:val="32"/>
        </w:rPr>
      </w:pPr>
    </w:p>
    <w:tbl>
      <w:tblPr>
        <w:tblW w:w="8976" w:type="dxa"/>
        <w:tblLayout w:type="fixed"/>
        <w:tblLook w:val="04A0"/>
      </w:tblPr>
      <w:tblGrid>
        <w:gridCol w:w="4536"/>
        <w:gridCol w:w="4440"/>
      </w:tblGrid>
      <w:tr w:rsidR="00492240" w:rsidRPr="00AE6BD5">
        <w:trPr>
          <w:cantSplit/>
          <w:trHeight w:val="1920"/>
        </w:trPr>
        <w:tc>
          <w:tcPr>
            <w:tcW w:w="4536" w:type="dxa"/>
            <w:tcBorders>
              <w:top w:val="nil"/>
              <w:left w:val="nil"/>
              <w:bottom w:val="nil"/>
              <w:right w:val="nil"/>
            </w:tcBorders>
          </w:tcPr>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甲方：</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地址：</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授权代理人：</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签订日期：</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开户银行：</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 xml:space="preserve">账号： </w:t>
            </w:r>
          </w:p>
        </w:tc>
        <w:tc>
          <w:tcPr>
            <w:tcW w:w="4440" w:type="dxa"/>
            <w:tcBorders>
              <w:top w:val="nil"/>
              <w:left w:val="nil"/>
              <w:bottom w:val="nil"/>
              <w:right w:val="nil"/>
            </w:tcBorders>
          </w:tcPr>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乙方：</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地址：</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授权代理人：</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Ansi="宋体" w:cs="宋体" w:hint="eastAsia"/>
                <w:sz w:val="32"/>
                <w:szCs w:val="32"/>
              </w:rPr>
              <w:t>签订日期：</w:t>
            </w:r>
          </w:p>
          <w:p w:rsidR="00492240" w:rsidRPr="00AE6BD5" w:rsidRDefault="00114B25" w:rsidP="0094320F">
            <w:pPr>
              <w:spacing w:line="560" w:lineRule="exact"/>
              <w:rPr>
                <w:rFonts w:ascii="仿宋_GB2312" w:eastAsia="仿宋_GB2312"/>
                <w:sz w:val="32"/>
                <w:szCs w:val="32"/>
              </w:rPr>
            </w:pPr>
            <w:r w:rsidRPr="00AE6BD5">
              <w:rPr>
                <w:rFonts w:ascii="仿宋_GB2312" w:eastAsia="仿宋_GB2312" w:hint="eastAsia"/>
                <w:sz w:val="32"/>
                <w:szCs w:val="32"/>
              </w:rPr>
              <w:t>开户银行：</w:t>
            </w:r>
          </w:p>
          <w:p w:rsidR="00492240" w:rsidRPr="00AE6BD5" w:rsidRDefault="00114B25" w:rsidP="0094320F">
            <w:pPr>
              <w:widowControl/>
              <w:spacing w:line="560" w:lineRule="exact"/>
              <w:rPr>
                <w:rFonts w:ascii="仿宋_GB2312" w:eastAsia="仿宋_GB2312" w:hAnsi="宋体" w:cs="宋体"/>
                <w:sz w:val="32"/>
                <w:szCs w:val="32"/>
              </w:rPr>
            </w:pPr>
            <w:r w:rsidRPr="00AE6BD5">
              <w:rPr>
                <w:rFonts w:ascii="仿宋_GB2312" w:eastAsia="仿宋_GB2312" w:hint="eastAsia"/>
                <w:sz w:val="32"/>
                <w:szCs w:val="32"/>
              </w:rPr>
              <w:t>账号：</w:t>
            </w:r>
          </w:p>
        </w:tc>
      </w:tr>
    </w:tbl>
    <w:p w:rsidR="00492240" w:rsidRPr="00AE6BD5" w:rsidRDefault="00492240" w:rsidP="0094320F">
      <w:pPr>
        <w:spacing w:before="240" w:line="560" w:lineRule="exact"/>
        <w:rPr>
          <w:rFonts w:ascii="仿宋_GB2312" w:eastAsia="仿宋_GB2312" w:hAnsi="宋体"/>
          <w:sz w:val="32"/>
          <w:szCs w:val="32"/>
        </w:rPr>
      </w:pPr>
    </w:p>
    <w:p w:rsidR="00492240" w:rsidRPr="00AE6BD5" w:rsidRDefault="00492240" w:rsidP="0094320F">
      <w:pPr>
        <w:spacing w:line="560" w:lineRule="exact"/>
        <w:rPr>
          <w:rFonts w:ascii="仿宋_GB2312" w:eastAsia="仿宋_GB2312"/>
          <w:sz w:val="32"/>
          <w:szCs w:val="32"/>
        </w:rPr>
      </w:pPr>
    </w:p>
    <w:p w:rsidR="00492240" w:rsidRDefault="00492240" w:rsidP="0094320F">
      <w:pPr>
        <w:spacing w:line="560" w:lineRule="exact"/>
      </w:pPr>
    </w:p>
    <w:sectPr w:rsidR="00492240" w:rsidSect="0094320F">
      <w:footerReference w:type="default" r:id="rId8"/>
      <w:footerReference w:type="first" r:id="rId9"/>
      <w:pgSz w:w="11906" w:h="16838"/>
      <w:pgMar w:top="1389" w:right="1797" w:bottom="1389" w:left="1797" w:header="851" w:footer="851"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82" w:rsidRDefault="00491882" w:rsidP="00492240">
      <w:pPr>
        <w:spacing w:line="240" w:lineRule="auto"/>
      </w:pPr>
      <w:r>
        <w:separator/>
      </w:r>
    </w:p>
  </w:endnote>
  <w:endnote w:type="continuationSeparator" w:id="1">
    <w:p w:rsidR="00491882" w:rsidRDefault="00491882" w:rsidP="004922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40" w:rsidRDefault="00CE14B7">
    <w:pPr>
      <w:pStyle w:val="a3"/>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92240" w:rsidRDefault="00CE14B7">
                <w:pPr>
                  <w:pStyle w:val="a3"/>
                  <w:jc w:val="center"/>
                </w:pPr>
                <w:r>
                  <w:rPr>
                    <w:b/>
                    <w:bCs/>
                  </w:rPr>
                  <w:fldChar w:fldCharType="begin"/>
                </w:r>
                <w:r w:rsidR="00114B25">
                  <w:rPr>
                    <w:b/>
                    <w:bCs/>
                  </w:rPr>
                  <w:instrText>PAGE</w:instrText>
                </w:r>
                <w:r>
                  <w:rPr>
                    <w:b/>
                    <w:bCs/>
                  </w:rPr>
                  <w:fldChar w:fldCharType="separate"/>
                </w:r>
                <w:r w:rsidR="009E1677">
                  <w:rPr>
                    <w:b/>
                    <w:bCs/>
                    <w:noProof/>
                  </w:rPr>
                  <w:t>2</w:t>
                </w:r>
                <w:r>
                  <w:rPr>
                    <w:b/>
                    <w:bCs/>
                  </w:rPr>
                  <w:fldChar w:fldCharType="end"/>
                </w:r>
                <w:r w:rsidR="00114B25">
                  <w:rPr>
                    <w:lang w:val="zh-CN"/>
                  </w:rPr>
                  <w:t xml:space="preserve"> / </w:t>
                </w:r>
                <w:r>
                  <w:rPr>
                    <w:b/>
                    <w:bCs/>
                  </w:rPr>
                  <w:fldChar w:fldCharType="begin"/>
                </w:r>
                <w:r w:rsidR="00114B25">
                  <w:rPr>
                    <w:b/>
                    <w:bCs/>
                  </w:rPr>
                  <w:instrText>NUMPAGES</w:instrText>
                </w:r>
                <w:r>
                  <w:rPr>
                    <w:b/>
                    <w:bCs/>
                  </w:rPr>
                  <w:fldChar w:fldCharType="separate"/>
                </w:r>
                <w:r w:rsidR="009E1677">
                  <w:rPr>
                    <w:b/>
                    <w:bCs/>
                    <w:noProof/>
                  </w:rPr>
                  <w:t>3</w:t>
                </w:r>
                <w:r>
                  <w:rPr>
                    <w:b/>
                    <w:bCs/>
                  </w:rPr>
                  <w:fldChar w:fldCharType="end"/>
                </w:r>
              </w:p>
            </w:txbxContent>
          </v:textbox>
          <w10:wrap anchorx="margin"/>
        </v:shape>
      </w:pict>
    </w:r>
  </w:p>
  <w:p w:rsidR="00492240" w:rsidRDefault="00492240">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40" w:rsidRDefault="00CE14B7">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92240" w:rsidRDefault="00CE14B7">
                <w:pPr>
                  <w:pStyle w:val="a3"/>
                </w:pPr>
                <w:r>
                  <w:rPr>
                    <w:rFonts w:hint="eastAsia"/>
                  </w:rPr>
                  <w:fldChar w:fldCharType="begin"/>
                </w:r>
                <w:r w:rsidR="00114B25">
                  <w:rPr>
                    <w:rFonts w:hint="eastAsia"/>
                  </w:rPr>
                  <w:instrText xml:space="preserve"> PAGE  \* MERGEFORMAT </w:instrText>
                </w:r>
                <w:r>
                  <w:rPr>
                    <w:rFonts w:hint="eastAsia"/>
                  </w:rPr>
                  <w:fldChar w:fldCharType="separate"/>
                </w:r>
                <w:r w:rsidR="009E167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82" w:rsidRDefault="00491882" w:rsidP="00492240">
      <w:pPr>
        <w:spacing w:line="240" w:lineRule="auto"/>
      </w:pPr>
      <w:r>
        <w:separator/>
      </w:r>
    </w:p>
  </w:footnote>
  <w:footnote w:type="continuationSeparator" w:id="1">
    <w:p w:rsidR="00491882" w:rsidRDefault="00491882" w:rsidP="004922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AD7"/>
    <w:multiLevelType w:val="multilevel"/>
    <w:tmpl w:val="01DB5AD7"/>
    <w:lvl w:ilvl="0">
      <w:start w:val="1"/>
      <w:numFmt w:val="decimal"/>
      <w:lvlText w:val="%1."/>
      <w:lvlJc w:val="left"/>
      <w:pPr>
        <w:ind w:left="425" w:hanging="425"/>
      </w:pPr>
    </w:lvl>
    <w:lvl w:ilvl="1">
      <w:start w:val="1"/>
      <w:numFmt w:val="decimal"/>
      <w:lvlText w:val="%1.%2."/>
      <w:lvlJc w:val="left"/>
      <w:pPr>
        <w:ind w:left="1134" w:hanging="567"/>
      </w:pPr>
      <w:rPr>
        <w:rFonts w:ascii="宋体" w:eastAsia="宋体" w:hAnsi="宋体"/>
        <w:b w:val="0"/>
        <w:sz w:val="24"/>
        <w:szCs w:val="24"/>
      </w:rPr>
    </w:lvl>
    <w:lvl w:ilvl="2">
      <w:start w:val="1"/>
      <w:numFmt w:val="decimal"/>
      <w:lvlText w:val="%1.%2.%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41522B"/>
    <w:rsid w:val="00114B25"/>
    <w:rsid w:val="001F7311"/>
    <w:rsid w:val="00286289"/>
    <w:rsid w:val="002A0D80"/>
    <w:rsid w:val="002C1D50"/>
    <w:rsid w:val="003011F9"/>
    <w:rsid w:val="00354468"/>
    <w:rsid w:val="00355732"/>
    <w:rsid w:val="00491882"/>
    <w:rsid w:val="00492240"/>
    <w:rsid w:val="005937E0"/>
    <w:rsid w:val="007544CE"/>
    <w:rsid w:val="00785549"/>
    <w:rsid w:val="007A59A8"/>
    <w:rsid w:val="007A701A"/>
    <w:rsid w:val="007E5E12"/>
    <w:rsid w:val="00885B8F"/>
    <w:rsid w:val="009114AC"/>
    <w:rsid w:val="00912433"/>
    <w:rsid w:val="0094320F"/>
    <w:rsid w:val="009E1677"/>
    <w:rsid w:val="00A00A25"/>
    <w:rsid w:val="00A97057"/>
    <w:rsid w:val="00AB7B08"/>
    <w:rsid w:val="00AE6BD5"/>
    <w:rsid w:val="00BA066D"/>
    <w:rsid w:val="00CA712A"/>
    <w:rsid w:val="00CE14B7"/>
    <w:rsid w:val="00EB3397"/>
    <w:rsid w:val="00F6200A"/>
    <w:rsid w:val="00F814AE"/>
    <w:rsid w:val="01922FB4"/>
    <w:rsid w:val="02264E56"/>
    <w:rsid w:val="02707616"/>
    <w:rsid w:val="02725A21"/>
    <w:rsid w:val="027A6380"/>
    <w:rsid w:val="03450BEA"/>
    <w:rsid w:val="035437FF"/>
    <w:rsid w:val="04211CC0"/>
    <w:rsid w:val="05557771"/>
    <w:rsid w:val="06165578"/>
    <w:rsid w:val="06363106"/>
    <w:rsid w:val="06CC439E"/>
    <w:rsid w:val="06F7059A"/>
    <w:rsid w:val="0AC97234"/>
    <w:rsid w:val="0C1B5DE5"/>
    <w:rsid w:val="0C87170C"/>
    <w:rsid w:val="0D743661"/>
    <w:rsid w:val="0DC55C33"/>
    <w:rsid w:val="0DD144F7"/>
    <w:rsid w:val="0E0C2601"/>
    <w:rsid w:val="0EB927F6"/>
    <w:rsid w:val="0F351351"/>
    <w:rsid w:val="1032396A"/>
    <w:rsid w:val="11373C8B"/>
    <w:rsid w:val="1229419F"/>
    <w:rsid w:val="13204FAD"/>
    <w:rsid w:val="14D0656D"/>
    <w:rsid w:val="15666543"/>
    <w:rsid w:val="15CC7772"/>
    <w:rsid w:val="15E7669A"/>
    <w:rsid w:val="17407C43"/>
    <w:rsid w:val="17B02E94"/>
    <w:rsid w:val="181C19F9"/>
    <w:rsid w:val="18FB5357"/>
    <w:rsid w:val="193C549E"/>
    <w:rsid w:val="1A0E23F6"/>
    <w:rsid w:val="1B044927"/>
    <w:rsid w:val="1B3D43A0"/>
    <w:rsid w:val="1BBB32A5"/>
    <w:rsid w:val="1C1D412B"/>
    <w:rsid w:val="1D2244FC"/>
    <w:rsid w:val="1D7631B5"/>
    <w:rsid w:val="202A35A0"/>
    <w:rsid w:val="20A9344E"/>
    <w:rsid w:val="21F733D4"/>
    <w:rsid w:val="22AE13DD"/>
    <w:rsid w:val="22ED25CB"/>
    <w:rsid w:val="22FF1923"/>
    <w:rsid w:val="230B141D"/>
    <w:rsid w:val="235A2BA5"/>
    <w:rsid w:val="24BF0563"/>
    <w:rsid w:val="258F46AD"/>
    <w:rsid w:val="27A22824"/>
    <w:rsid w:val="27EB7D51"/>
    <w:rsid w:val="286C0808"/>
    <w:rsid w:val="29526E5C"/>
    <w:rsid w:val="299C7CEC"/>
    <w:rsid w:val="2AB22A17"/>
    <w:rsid w:val="2B816926"/>
    <w:rsid w:val="2BFF5ECB"/>
    <w:rsid w:val="2C3F6304"/>
    <w:rsid w:val="2C514C61"/>
    <w:rsid w:val="2D1B511A"/>
    <w:rsid w:val="2D976232"/>
    <w:rsid w:val="2DD37BB1"/>
    <w:rsid w:val="2E542AA4"/>
    <w:rsid w:val="2F195A4C"/>
    <w:rsid w:val="2F1B5739"/>
    <w:rsid w:val="2F2D439A"/>
    <w:rsid w:val="30380035"/>
    <w:rsid w:val="308407F8"/>
    <w:rsid w:val="30BE7B6A"/>
    <w:rsid w:val="30D27154"/>
    <w:rsid w:val="30FB7A58"/>
    <w:rsid w:val="31333465"/>
    <w:rsid w:val="33655CD7"/>
    <w:rsid w:val="34373444"/>
    <w:rsid w:val="3448429F"/>
    <w:rsid w:val="358905F0"/>
    <w:rsid w:val="35D504E4"/>
    <w:rsid w:val="365A4BE1"/>
    <w:rsid w:val="366E722D"/>
    <w:rsid w:val="37A55734"/>
    <w:rsid w:val="383F0B4C"/>
    <w:rsid w:val="3924395D"/>
    <w:rsid w:val="3A2B2051"/>
    <w:rsid w:val="3B212B86"/>
    <w:rsid w:val="3CE17E86"/>
    <w:rsid w:val="3DAB0D0E"/>
    <w:rsid w:val="3EE63024"/>
    <w:rsid w:val="3FB46D81"/>
    <w:rsid w:val="3FE13459"/>
    <w:rsid w:val="40021225"/>
    <w:rsid w:val="408F7DC9"/>
    <w:rsid w:val="410876AE"/>
    <w:rsid w:val="4277240F"/>
    <w:rsid w:val="427E44CF"/>
    <w:rsid w:val="42AD392F"/>
    <w:rsid w:val="434542EB"/>
    <w:rsid w:val="434C2F44"/>
    <w:rsid w:val="434D71C9"/>
    <w:rsid w:val="43CA4A3A"/>
    <w:rsid w:val="44350DFE"/>
    <w:rsid w:val="449869B0"/>
    <w:rsid w:val="45323BC9"/>
    <w:rsid w:val="456C000C"/>
    <w:rsid w:val="457A6C49"/>
    <w:rsid w:val="45BC4C6D"/>
    <w:rsid w:val="465C5A0C"/>
    <w:rsid w:val="465F6F5D"/>
    <w:rsid w:val="491A5C9B"/>
    <w:rsid w:val="492371B6"/>
    <w:rsid w:val="4941522B"/>
    <w:rsid w:val="49AB27F6"/>
    <w:rsid w:val="49B16BCB"/>
    <w:rsid w:val="4A3B49D2"/>
    <w:rsid w:val="4A4D3293"/>
    <w:rsid w:val="4A885013"/>
    <w:rsid w:val="4AB96DE3"/>
    <w:rsid w:val="4AC46778"/>
    <w:rsid w:val="4BDB0391"/>
    <w:rsid w:val="4C812BAE"/>
    <w:rsid w:val="4CC1165B"/>
    <w:rsid w:val="4CCD3567"/>
    <w:rsid w:val="4CF7576C"/>
    <w:rsid w:val="4D497BBF"/>
    <w:rsid w:val="4E762E55"/>
    <w:rsid w:val="4ED80540"/>
    <w:rsid w:val="4FDD6832"/>
    <w:rsid w:val="4FF50783"/>
    <w:rsid w:val="4FFC4D57"/>
    <w:rsid w:val="500743FE"/>
    <w:rsid w:val="50F43F7C"/>
    <w:rsid w:val="511A489B"/>
    <w:rsid w:val="51AC78CE"/>
    <w:rsid w:val="522D6952"/>
    <w:rsid w:val="52AE0385"/>
    <w:rsid w:val="54343900"/>
    <w:rsid w:val="544C09B5"/>
    <w:rsid w:val="54F17FD5"/>
    <w:rsid w:val="551D254F"/>
    <w:rsid w:val="57A80D23"/>
    <w:rsid w:val="57FD1803"/>
    <w:rsid w:val="58B979F3"/>
    <w:rsid w:val="59523E27"/>
    <w:rsid w:val="598C27B7"/>
    <w:rsid w:val="5AC24FFF"/>
    <w:rsid w:val="5C237101"/>
    <w:rsid w:val="5CBF0F36"/>
    <w:rsid w:val="5CC83C2E"/>
    <w:rsid w:val="5CE65352"/>
    <w:rsid w:val="5DCF7361"/>
    <w:rsid w:val="5E4D7163"/>
    <w:rsid w:val="5ED24208"/>
    <w:rsid w:val="5EE6368B"/>
    <w:rsid w:val="615B7EBB"/>
    <w:rsid w:val="617D68E0"/>
    <w:rsid w:val="617E1646"/>
    <w:rsid w:val="61A07A04"/>
    <w:rsid w:val="63421566"/>
    <w:rsid w:val="63A61772"/>
    <w:rsid w:val="650D452D"/>
    <w:rsid w:val="654355E9"/>
    <w:rsid w:val="65E81AFE"/>
    <w:rsid w:val="665E3C3A"/>
    <w:rsid w:val="669F1B87"/>
    <w:rsid w:val="67162C81"/>
    <w:rsid w:val="678E7123"/>
    <w:rsid w:val="685013C0"/>
    <w:rsid w:val="698D2048"/>
    <w:rsid w:val="6A9647E4"/>
    <w:rsid w:val="6B8A5FE4"/>
    <w:rsid w:val="6BDC0E3A"/>
    <w:rsid w:val="6C5E01AA"/>
    <w:rsid w:val="6D0B59F9"/>
    <w:rsid w:val="6DB554ED"/>
    <w:rsid w:val="6DD15525"/>
    <w:rsid w:val="6F842380"/>
    <w:rsid w:val="6FC55CB1"/>
    <w:rsid w:val="70BB691F"/>
    <w:rsid w:val="712D4625"/>
    <w:rsid w:val="71BB78E3"/>
    <w:rsid w:val="71CF0649"/>
    <w:rsid w:val="71E54AE6"/>
    <w:rsid w:val="72CB51E5"/>
    <w:rsid w:val="735835D1"/>
    <w:rsid w:val="737D3929"/>
    <w:rsid w:val="74B12B3C"/>
    <w:rsid w:val="74CF2241"/>
    <w:rsid w:val="74D949B9"/>
    <w:rsid w:val="756B3654"/>
    <w:rsid w:val="761570FA"/>
    <w:rsid w:val="768F7946"/>
    <w:rsid w:val="77A8063D"/>
    <w:rsid w:val="78A11790"/>
    <w:rsid w:val="7A4778FA"/>
    <w:rsid w:val="7B6A1AB6"/>
    <w:rsid w:val="7B795C9C"/>
    <w:rsid w:val="7B94037F"/>
    <w:rsid w:val="7C951D90"/>
    <w:rsid w:val="7CDE5659"/>
    <w:rsid w:val="7DDA3114"/>
    <w:rsid w:val="7E3E725D"/>
    <w:rsid w:val="7E4355A7"/>
    <w:rsid w:val="7E983769"/>
    <w:rsid w:val="7EA2668C"/>
    <w:rsid w:val="7F096B75"/>
    <w:rsid w:val="7F711651"/>
    <w:rsid w:val="7F901C78"/>
    <w:rsid w:val="7FA62F0A"/>
    <w:rsid w:val="7FD44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2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2240"/>
    <w:pPr>
      <w:tabs>
        <w:tab w:val="center" w:pos="4153"/>
        <w:tab w:val="right" w:pos="8306"/>
      </w:tabs>
      <w:snapToGrid w:val="0"/>
    </w:pPr>
    <w:rPr>
      <w:sz w:val="18"/>
      <w:szCs w:val="18"/>
    </w:rPr>
  </w:style>
  <w:style w:type="paragraph" w:styleId="a4">
    <w:name w:val="header"/>
    <w:basedOn w:val="a"/>
    <w:link w:val="Char"/>
    <w:qFormat/>
    <w:rsid w:val="00492240"/>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1">
    <w:name w:val="彩色列表 - 着色 11"/>
    <w:basedOn w:val="a"/>
    <w:uiPriority w:val="99"/>
    <w:qFormat/>
    <w:rsid w:val="00492240"/>
    <w:pPr>
      <w:adjustRightInd/>
      <w:spacing w:line="240" w:lineRule="auto"/>
      <w:ind w:firstLineChars="200" w:firstLine="420"/>
      <w:jc w:val="both"/>
      <w:textAlignment w:val="auto"/>
    </w:pPr>
    <w:rPr>
      <w:rFonts w:ascii="Calibri" w:hAnsi="Calibri"/>
      <w:kern w:val="2"/>
      <w:sz w:val="21"/>
      <w:szCs w:val="22"/>
    </w:rPr>
  </w:style>
  <w:style w:type="paragraph" w:customStyle="1" w:styleId="1">
    <w:name w:val="列出段落1"/>
    <w:basedOn w:val="a"/>
    <w:qFormat/>
    <w:rsid w:val="00492240"/>
    <w:pPr>
      <w:adjustRightInd/>
      <w:spacing w:line="240" w:lineRule="auto"/>
      <w:ind w:firstLineChars="200" w:firstLine="420"/>
      <w:jc w:val="both"/>
      <w:textAlignment w:val="auto"/>
    </w:pPr>
    <w:rPr>
      <w:rFonts w:ascii="Calibri" w:hAnsi="Calibri"/>
      <w:kern w:val="2"/>
      <w:sz w:val="21"/>
      <w:szCs w:val="22"/>
    </w:rPr>
  </w:style>
  <w:style w:type="paragraph" w:customStyle="1" w:styleId="a5">
    <w:name w:val="文件正文"/>
    <w:basedOn w:val="a"/>
    <w:qFormat/>
    <w:rsid w:val="00492240"/>
    <w:pPr>
      <w:spacing w:line="360" w:lineRule="auto"/>
      <w:ind w:firstLineChars="200" w:firstLine="480"/>
    </w:pPr>
    <w:rPr>
      <w:rFonts w:ascii="宋体" w:hAnsi="宋体"/>
      <w:color w:val="000000"/>
      <w:szCs w:val="24"/>
    </w:rPr>
  </w:style>
  <w:style w:type="character" w:customStyle="1" w:styleId="Char">
    <w:name w:val="页眉 Char"/>
    <w:basedOn w:val="a0"/>
    <w:link w:val="a4"/>
    <w:qFormat/>
    <w:rsid w:val="004922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administritor</dc:creator>
  <cp:lastModifiedBy>赵建辉</cp:lastModifiedBy>
  <cp:revision>14</cp:revision>
  <cp:lastPrinted>2019-05-14T02:40:00Z</cp:lastPrinted>
  <dcterms:created xsi:type="dcterms:W3CDTF">2018-12-24T04:07:00Z</dcterms:created>
  <dcterms:modified xsi:type="dcterms:W3CDTF">2019-05-14T02:40:00Z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