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35" w:rsidRPr="004E7ED5" w:rsidRDefault="00567B35" w:rsidP="00567B35">
      <w:pPr>
        <w:rPr>
          <w:rFonts w:ascii="黑体" w:eastAsia="黑体" w:hAnsi="楷体" w:cs="楷体" w:hint="eastAsia"/>
          <w:bCs/>
          <w:spacing w:val="-26"/>
          <w:sz w:val="32"/>
          <w:szCs w:val="32"/>
        </w:rPr>
      </w:pPr>
      <w:r w:rsidRPr="004E7ED5">
        <w:rPr>
          <w:rFonts w:ascii="黑体" w:eastAsia="黑体" w:hAnsi="楷体" w:cs="楷体" w:hint="eastAsia"/>
          <w:bCs/>
          <w:spacing w:val="-26"/>
          <w:sz w:val="32"/>
          <w:szCs w:val="32"/>
        </w:rPr>
        <w:t>附件3</w:t>
      </w:r>
    </w:p>
    <w:p w:rsidR="00567B35" w:rsidRPr="00567B35" w:rsidRDefault="00567B35" w:rsidP="00567B35">
      <w:pPr>
        <w:jc w:val="center"/>
        <w:rPr>
          <w:rFonts w:ascii="华文中宋" w:eastAsia="华文中宋" w:hAnsi="华文中宋"/>
          <w:b/>
          <w:bCs/>
          <w:spacing w:val="-26"/>
          <w:sz w:val="36"/>
          <w:szCs w:val="36"/>
        </w:rPr>
      </w:pPr>
      <w:r w:rsidRPr="00567B35">
        <w:rPr>
          <w:rFonts w:ascii="华文中宋" w:eastAsia="华文中宋" w:hAnsi="华文中宋" w:hint="eastAsia"/>
          <w:b/>
          <w:bCs/>
          <w:spacing w:val="-26"/>
          <w:sz w:val="36"/>
          <w:szCs w:val="36"/>
        </w:rPr>
        <w:t>天津市行业协会商会脱钩试点单位完成情况表</w:t>
      </w:r>
    </w:p>
    <w:p w:rsidR="00567B35" w:rsidRPr="00567B35" w:rsidRDefault="00567B35" w:rsidP="00567B35">
      <w:pPr>
        <w:jc w:val="center"/>
        <w:rPr>
          <w:rFonts w:ascii="楷体" w:eastAsia="楷体" w:hAnsi="楷体" w:cs="楷体"/>
          <w:bCs/>
          <w:sz w:val="28"/>
          <w:szCs w:val="28"/>
        </w:rPr>
      </w:pPr>
      <w:r w:rsidRPr="00567B35">
        <w:rPr>
          <w:rFonts w:ascii="楷体" w:eastAsia="楷体" w:hAnsi="楷体" w:cs="楷体" w:hint="eastAsia"/>
          <w:bCs/>
          <w:sz w:val="28"/>
          <w:szCs w:val="28"/>
        </w:rPr>
        <w:t xml:space="preserve">  (参加试点行业协会商会填写、业务主管单位审核）</w:t>
      </w:r>
    </w:p>
    <w:p w:rsidR="00567B35" w:rsidRPr="00567B35" w:rsidRDefault="00567B35" w:rsidP="00567B35">
      <w:pPr>
        <w:jc w:val="center"/>
        <w:rPr>
          <w:rFonts w:ascii="楷体" w:eastAsia="楷体" w:hAnsi="楷体" w:cs="楷体"/>
          <w:bCs/>
          <w:sz w:val="28"/>
          <w:szCs w:val="28"/>
        </w:rPr>
      </w:pPr>
    </w:p>
    <w:p w:rsidR="00567B35" w:rsidRPr="00567B35" w:rsidRDefault="00567B35" w:rsidP="00567B35">
      <w:pPr>
        <w:rPr>
          <w:rFonts w:ascii="宋体" w:hAnsi="宋体"/>
          <w:bCs/>
          <w:sz w:val="28"/>
          <w:szCs w:val="28"/>
        </w:rPr>
      </w:pPr>
      <w:r w:rsidRPr="00567B35">
        <w:rPr>
          <w:rFonts w:ascii="宋体" w:hAnsi="宋体" w:hint="eastAsia"/>
          <w:bCs/>
          <w:sz w:val="28"/>
          <w:szCs w:val="28"/>
        </w:rPr>
        <w:t>填 表 单 位（盖 章）：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 </w:t>
      </w:r>
      <w:r w:rsidRPr="00567B35">
        <w:rPr>
          <w:rFonts w:ascii="宋体" w:hAnsi="宋体" w:hint="eastAsia"/>
          <w:bCs/>
          <w:sz w:val="28"/>
          <w:szCs w:val="28"/>
        </w:rPr>
        <w:t>填表人：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/>
          <w:bCs/>
          <w:sz w:val="28"/>
          <w:szCs w:val="28"/>
          <w:u w:val="single"/>
        </w:rPr>
        <w:t xml:space="preserve"> 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 w:hint="eastAsia"/>
          <w:bCs/>
          <w:sz w:val="28"/>
          <w:szCs w:val="28"/>
        </w:rPr>
        <w:t>电话：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/>
          <w:bCs/>
          <w:sz w:val="28"/>
          <w:szCs w:val="28"/>
          <w:u w:val="single"/>
        </w:rPr>
        <w:t xml:space="preserve">  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Pr="00567B35">
        <w:rPr>
          <w:rFonts w:ascii="宋体" w:hAnsi="宋体" w:hint="eastAsia"/>
          <w:bCs/>
          <w:sz w:val="28"/>
          <w:szCs w:val="28"/>
        </w:rPr>
        <w:t xml:space="preserve">   </w:t>
      </w:r>
    </w:p>
    <w:p w:rsidR="00567B35" w:rsidRPr="00567B35" w:rsidRDefault="00567B35" w:rsidP="00567B35">
      <w:pPr>
        <w:rPr>
          <w:rFonts w:ascii="宋体" w:hAnsi="宋体"/>
          <w:bCs/>
          <w:sz w:val="28"/>
          <w:szCs w:val="28"/>
        </w:rPr>
      </w:pPr>
    </w:p>
    <w:p w:rsidR="00567B35" w:rsidRPr="00567B35" w:rsidRDefault="00567B35" w:rsidP="00567B35">
      <w:pPr>
        <w:jc w:val="left"/>
        <w:rPr>
          <w:rFonts w:ascii="宋体" w:hAnsi="宋体"/>
          <w:bCs/>
          <w:sz w:val="28"/>
          <w:szCs w:val="28"/>
        </w:rPr>
      </w:pPr>
      <w:r w:rsidRPr="00567B35">
        <w:rPr>
          <w:rFonts w:ascii="宋体" w:hAnsi="宋体" w:hint="eastAsia"/>
          <w:bCs/>
          <w:sz w:val="28"/>
          <w:szCs w:val="28"/>
        </w:rPr>
        <w:t>业务主管单位（盖章）：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 </w:t>
      </w:r>
      <w:r w:rsidRPr="00567B35">
        <w:rPr>
          <w:rFonts w:ascii="宋体" w:hAnsi="宋体" w:hint="eastAsia"/>
          <w:bCs/>
          <w:sz w:val="28"/>
          <w:szCs w:val="28"/>
        </w:rPr>
        <w:t>联系人：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/>
          <w:bCs/>
          <w:sz w:val="28"/>
          <w:szCs w:val="28"/>
          <w:u w:val="single"/>
        </w:rPr>
        <w:t xml:space="preserve"> 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 w:hint="eastAsia"/>
          <w:bCs/>
          <w:sz w:val="28"/>
          <w:szCs w:val="28"/>
        </w:rPr>
        <w:t>电话：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</w:t>
      </w:r>
      <w:r w:rsidRPr="00567B35">
        <w:rPr>
          <w:rFonts w:ascii="宋体" w:hAnsi="宋体"/>
          <w:bCs/>
          <w:sz w:val="28"/>
          <w:szCs w:val="28"/>
          <w:u w:val="single"/>
        </w:rPr>
        <w:t xml:space="preserve">  </w:t>
      </w:r>
      <w:r w:rsidRPr="00567B35">
        <w:rPr>
          <w:rFonts w:ascii="宋体" w:hAnsi="宋体" w:hint="eastAsia"/>
          <w:bCs/>
          <w:sz w:val="28"/>
          <w:szCs w:val="28"/>
          <w:u w:val="single"/>
        </w:rPr>
        <w:t xml:space="preserve">     </w:t>
      </w:r>
      <w:r w:rsidRPr="00567B35">
        <w:rPr>
          <w:rFonts w:ascii="宋体" w:hAnsi="宋体" w:hint="eastAsia"/>
          <w:bCs/>
          <w:sz w:val="28"/>
          <w:szCs w:val="28"/>
        </w:rPr>
        <w:t xml:space="preserve">   </w:t>
      </w:r>
    </w:p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</w:p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t>（一）基本信息情况</w:t>
      </w: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1888"/>
        <w:gridCol w:w="1042"/>
        <w:gridCol w:w="2604"/>
        <w:gridCol w:w="2596"/>
      </w:tblGrid>
      <w:tr w:rsidR="00567B35" w:rsidRPr="00567B35" w:rsidTr="00332387">
        <w:trPr>
          <w:trHeight w:val="5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  <w:r w:rsidRPr="00567B35">
              <w:rPr>
                <w:rFonts w:ascii="仿宋_GB2312" w:eastAsia="仿宋_GB2312" w:hint="eastAsia"/>
                <w:sz w:val="24"/>
              </w:rPr>
              <w:t xml:space="preserve">名  称     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  <w:r w:rsidRPr="00567B35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</w:tr>
      <w:tr w:rsidR="00567B35" w:rsidRPr="00567B35" w:rsidTr="00332387">
        <w:trPr>
          <w:trHeight w:val="47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  <w:r w:rsidRPr="00567B35">
              <w:rPr>
                <w:rFonts w:ascii="仿宋_GB2312" w:eastAsia="仿宋_GB2312" w:hint="eastAsia"/>
                <w:sz w:val="24"/>
              </w:rPr>
              <w:t>理事长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  <w:r w:rsidRPr="00567B35">
              <w:rPr>
                <w:rFonts w:ascii="仿宋_GB2312" w:eastAsia="仿宋_GB2312" w:hint="eastAsia"/>
                <w:sz w:val="24"/>
              </w:rPr>
              <w:t>秘书长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</w:tr>
      <w:tr w:rsidR="00567B35" w:rsidRPr="00567B35" w:rsidTr="00332387">
        <w:trPr>
          <w:trHeight w:val="5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  <w:r w:rsidRPr="00567B35">
              <w:rPr>
                <w:rFonts w:ascii="仿宋_GB2312" w:eastAsia="仿宋_GB2312" w:hint="eastAsia"/>
                <w:sz w:val="24"/>
              </w:rPr>
              <w:t>住所地址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</w:p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t>（二）机构分离情况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08"/>
      </w:tblGrid>
      <w:tr w:rsidR="00567B35" w:rsidRPr="00567B35" w:rsidTr="00332387">
        <w:trPr>
          <w:trHeight w:val="244"/>
          <w:jc w:val="center"/>
        </w:trPr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代管事业单位的脱钩情况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140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□并入行业协会商会，核销事业编制（     ）个</w:t>
            </w:r>
          </w:p>
        </w:tc>
      </w:tr>
      <w:tr w:rsidR="00567B35" w:rsidRPr="00567B35" w:rsidTr="00332387">
        <w:trPr>
          <w:trHeight w:val="217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□划转（           ）管理</w:t>
            </w:r>
          </w:p>
        </w:tc>
      </w:tr>
      <w:tr w:rsidR="00567B35" w:rsidRPr="00567B35" w:rsidTr="00332387">
        <w:trPr>
          <w:trHeight w:val="147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□未完成脱钩</w:t>
            </w:r>
          </w:p>
        </w:tc>
      </w:tr>
      <w:tr w:rsidR="00567B35" w:rsidRPr="00567B35" w:rsidTr="00332387">
        <w:trPr>
          <w:trHeight w:val="147"/>
          <w:jc w:val="center"/>
        </w:trPr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与其他行业协会商会、社会组织代管协管挂靠关系的脱钩情况</w:t>
            </w: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147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□按自愿互惠原则进行调整，并纳入章程予以规范</w:t>
            </w:r>
          </w:p>
        </w:tc>
      </w:tr>
      <w:tr w:rsidR="00567B35" w:rsidRPr="00567B35" w:rsidTr="00332387">
        <w:trPr>
          <w:trHeight w:val="264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□未完成脱钩</w:t>
            </w:r>
          </w:p>
        </w:tc>
      </w:tr>
      <w:tr w:rsidR="00567B35" w:rsidRPr="00567B35" w:rsidTr="00332387">
        <w:trPr>
          <w:trHeight w:val="291"/>
          <w:jc w:val="center"/>
        </w:trPr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与行政机关或者事业单位合署办公的脱钩情况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189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□继续使用，但签署租赁合同</w:t>
            </w:r>
          </w:p>
        </w:tc>
      </w:tr>
      <w:tr w:rsidR="00567B35" w:rsidRPr="00567B35" w:rsidTr="00332387">
        <w:trPr>
          <w:trHeight w:val="180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□分离后单独租赁办公用房，地址：</w:t>
            </w:r>
          </w:p>
        </w:tc>
      </w:tr>
      <w:tr w:rsidR="00567B35" w:rsidRPr="00567B35" w:rsidTr="00332387">
        <w:trPr>
          <w:trHeight w:val="257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□分离后单独购买办公用房，地址：</w:t>
            </w:r>
          </w:p>
        </w:tc>
      </w:tr>
      <w:tr w:rsidR="00567B35" w:rsidRPr="00567B35" w:rsidTr="00332387">
        <w:trPr>
          <w:trHeight w:val="90"/>
          <w:jc w:val="center"/>
        </w:trPr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□未完成脱钩</w:t>
            </w:r>
          </w:p>
        </w:tc>
      </w:tr>
    </w:tbl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t>（三）职能分离情况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0"/>
        <w:gridCol w:w="7693"/>
      </w:tblGrid>
      <w:tr w:rsidR="00567B35" w:rsidRPr="00567B35" w:rsidTr="00332387">
        <w:trPr>
          <w:trHeight w:val="367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法律法规规定情形</w:t>
            </w:r>
            <w:r w:rsidRPr="00567B35">
              <w:rPr>
                <w:rFonts w:ascii="仿宋_GB2312" w:eastAsia="仿宋_GB2312" w:hint="eastAsia"/>
                <w:bCs/>
                <w:sz w:val="24"/>
              </w:rPr>
              <w:lastRenderedPageBreak/>
              <w:t>之外行业协会商会行使行政职能的脱钩情况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lastRenderedPageBreak/>
              <w:t>□不涉及此事项</w:t>
            </w:r>
          </w:p>
        </w:tc>
      </w:tr>
      <w:tr w:rsidR="00567B35" w:rsidRPr="00567B35" w:rsidTr="00332387">
        <w:trPr>
          <w:trHeight w:val="228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□已移交有关部门（   ）项，分别为：</w:t>
            </w:r>
          </w:p>
        </w:tc>
      </w:tr>
      <w:tr w:rsidR="00567B35" w:rsidRPr="00567B35" w:rsidTr="00332387">
        <w:trPr>
          <w:trHeight w:val="94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1.</w:t>
            </w:r>
          </w:p>
        </w:tc>
      </w:tr>
      <w:tr w:rsidR="00567B35" w:rsidRPr="00567B35" w:rsidTr="00332387">
        <w:trPr>
          <w:trHeight w:val="220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2.</w:t>
            </w:r>
          </w:p>
        </w:tc>
      </w:tr>
      <w:tr w:rsidR="00567B35" w:rsidRPr="00567B35" w:rsidTr="00332387">
        <w:trPr>
          <w:trHeight w:val="102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  <w:tr w:rsidR="00567B35" w:rsidRPr="00567B35" w:rsidTr="00332387">
        <w:trPr>
          <w:trHeight w:val="198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□未完成移交（   ）项，分别为：</w:t>
            </w:r>
          </w:p>
        </w:tc>
      </w:tr>
      <w:tr w:rsidR="00567B35" w:rsidRPr="00567B35" w:rsidTr="00332387">
        <w:trPr>
          <w:trHeight w:val="229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1.</w:t>
            </w:r>
          </w:p>
        </w:tc>
      </w:tr>
      <w:tr w:rsidR="00567B35" w:rsidRPr="00567B35" w:rsidTr="00332387">
        <w:trPr>
          <w:trHeight w:val="93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2.</w:t>
            </w:r>
          </w:p>
        </w:tc>
      </w:tr>
      <w:tr w:rsidR="00567B35" w:rsidRPr="00567B35" w:rsidTr="00332387">
        <w:trPr>
          <w:trHeight w:val="16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  <w:tr w:rsidR="00567B35" w:rsidRPr="00567B35" w:rsidTr="00332387">
        <w:trPr>
          <w:trHeight w:val="330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脱钩后有关部门向行业协会商会转移职能和事项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共转移（    ）项职能和事项，具体清单目录为：</w:t>
            </w:r>
          </w:p>
        </w:tc>
      </w:tr>
      <w:tr w:rsidR="00567B35" w:rsidRPr="00567B35" w:rsidTr="00332387">
        <w:trPr>
          <w:trHeight w:val="185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1.</w:t>
            </w:r>
          </w:p>
        </w:tc>
      </w:tr>
      <w:tr w:rsidR="00567B35" w:rsidRPr="00567B35" w:rsidTr="00332387">
        <w:trPr>
          <w:trHeight w:val="137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2.</w:t>
            </w:r>
          </w:p>
        </w:tc>
      </w:tr>
      <w:tr w:rsidR="00567B35" w:rsidRPr="00567B35" w:rsidTr="00332387">
        <w:trPr>
          <w:trHeight w:val="152"/>
          <w:jc w:val="center"/>
        </w:trPr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3.</w:t>
            </w:r>
          </w:p>
        </w:tc>
      </w:tr>
      <w:tr w:rsidR="00567B35" w:rsidRPr="00567B35" w:rsidTr="00332387">
        <w:trPr>
          <w:trHeight w:val="147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</w:tbl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</w:p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t>（四）资产财务分离情况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5"/>
        <w:gridCol w:w="2250"/>
        <w:gridCol w:w="2085"/>
        <w:gridCol w:w="3343"/>
      </w:tblGrid>
      <w:tr w:rsidR="00567B35" w:rsidRPr="00567B35" w:rsidTr="00332387">
        <w:trPr>
          <w:trHeight w:val="411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脱钩后执行会计制度情况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 xml:space="preserve">□《民间非营利组织会计制度》  </w:t>
            </w:r>
          </w:p>
        </w:tc>
      </w:tr>
      <w:tr w:rsidR="00567B35" w:rsidRPr="00567B35" w:rsidTr="00332387">
        <w:trPr>
          <w:trHeight w:val="310"/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□其他会计制度</w:t>
            </w:r>
          </w:p>
        </w:tc>
      </w:tr>
      <w:tr w:rsidR="00567B35" w:rsidRPr="00567B35" w:rsidTr="00332387">
        <w:trPr>
          <w:trHeight w:val="232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脱钩后单独开立银行账户情况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134"/>
          <w:jc w:val="center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□单独开立账户，开户行、开户名称及账号为：（             ）</w:t>
            </w:r>
          </w:p>
        </w:tc>
      </w:tr>
      <w:tr w:rsidR="00567B35" w:rsidRPr="00567B35" w:rsidTr="00332387">
        <w:trPr>
          <w:trHeight w:val="278"/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□未单独开立账户，与何单位共用（            ）</w:t>
            </w:r>
          </w:p>
        </w:tc>
      </w:tr>
      <w:tr w:rsidR="00567B35" w:rsidRPr="00567B35" w:rsidTr="00332387">
        <w:trPr>
          <w:trHeight w:val="351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脱钩后单独建账、独立核算情况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290"/>
          <w:jc w:val="center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□已单独建账、独立核算</w:t>
            </w:r>
          </w:p>
        </w:tc>
      </w:tr>
      <w:tr w:rsidR="00567B35" w:rsidRPr="00567B35" w:rsidTr="00332387">
        <w:trPr>
          <w:trHeight w:val="350"/>
          <w:jc w:val="center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□未单独建账、独立核算，账务挂靠在何单位（            ）</w:t>
            </w:r>
          </w:p>
        </w:tc>
      </w:tr>
      <w:tr w:rsidR="00567B35" w:rsidRPr="00567B35" w:rsidTr="00332387">
        <w:trPr>
          <w:trHeight w:val="406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脱钩后财政预算资金处理方式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377"/>
          <w:jc w:val="center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□预算资金额度（  ）万元，具体处理方式（       ）</w:t>
            </w:r>
          </w:p>
        </w:tc>
      </w:tr>
      <w:tr w:rsidR="00567B35" w:rsidRPr="00567B35" w:rsidTr="00332387">
        <w:trPr>
          <w:trHeight w:val="358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脱钩后承接政府购买服务情况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□未承接政府购买服务事项</w:t>
            </w:r>
          </w:p>
        </w:tc>
      </w:tr>
      <w:tr w:rsidR="00567B35" w:rsidRPr="00567B35" w:rsidTr="00332387">
        <w:trPr>
          <w:trHeight w:val="246"/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□承接政府购买服务事项（   ）项，资金（  ）万元，具体清单目录为：</w:t>
            </w:r>
          </w:p>
        </w:tc>
      </w:tr>
      <w:tr w:rsidR="00567B35" w:rsidRPr="00567B35" w:rsidTr="00332387">
        <w:trPr>
          <w:trHeight w:val="224"/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1.</w:t>
            </w:r>
          </w:p>
        </w:tc>
      </w:tr>
      <w:tr w:rsidR="00567B35" w:rsidRPr="00567B35" w:rsidTr="00332387">
        <w:trPr>
          <w:trHeight w:val="98"/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2.</w:t>
            </w:r>
          </w:p>
        </w:tc>
      </w:tr>
      <w:tr w:rsidR="00567B35" w:rsidRPr="00567B35" w:rsidTr="00332387">
        <w:trPr>
          <w:trHeight w:val="143"/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……</w:t>
            </w:r>
          </w:p>
        </w:tc>
      </w:tr>
      <w:tr w:rsidR="00567B35" w:rsidRPr="00567B35" w:rsidTr="00332387">
        <w:trPr>
          <w:trHeight w:val="164"/>
          <w:jc w:val="center"/>
        </w:trPr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使用行政办公用房脱钩情况</w:t>
            </w: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172"/>
          <w:jc w:val="center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□符合核定面积（     ）</w:t>
            </w:r>
            <w:r w:rsidRPr="00567B35">
              <w:rPr>
                <w:rFonts w:ascii="Batang" w:eastAsia="Batang" w:hAnsi="Batang" w:cs="Batang" w:hint="eastAsia"/>
                <w:bCs/>
                <w:sz w:val="24"/>
              </w:rPr>
              <w:t>㎡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>，脱钩后具体处理方式（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 xml:space="preserve">        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>）</w:t>
            </w:r>
          </w:p>
        </w:tc>
      </w:tr>
      <w:tr w:rsidR="00567B35" w:rsidRPr="00567B35" w:rsidTr="00332387">
        <w:trPr>
          <w:trHeight w:val="369"/>
          <w:jc w:val="center"/>
        </w:trPr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>清理腾退超出核定面积（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 xml:space="preserve">     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>）</w:t>
            </w:r>
            <w:r w:rsidRPr="00567B35">
              <w:rPr>
                <w:rFonts w:ascii="Batang" w:eastAsia="Batang" w:hAnsi="Batang" w:cs="Batang" w:hint="eastAsia"/>
                <w:bCs/>
                <w:sz w:val="24"/>
              </w:rPr>
              <w:t>㎡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>，签订书面移交协议（</w:t>
            </w:r>
            <w:r w:rsidRPr="00567B35">
              <w:rPr>
                <w:rFonts w:ascii="仿宋_GB2312" w:eastAsia="仿宋_GB2312" w:hint="eastAsia"/>
                <w:bCs/>
                <w:sz w:val="24"/>
              </w:rPr>
              <w:t>□是□否</w:t>
            </w:r>
            <w:r w:rsidRPr="00567B35">
              <w:rPr>
                <w:rFonts w:ascii="Arial" w:eastAsia="仿宋_GB2312" w:hAnsi="Arial" w:cs="Arial" w:hint="eastAsia"/>
                <w:bCs/>
                <w:sz w:val="24"/>
              </w:rPr>
              <w:t>）</w:t>
            </w:r>
          </w:p>
        </w:tc>
      </w:tr>
      <w:tr w:rsidR="00567B35" w:rsidRPr="00567B35" w:rsidTr="00332387">
        <w:trPr>
          <w:trHeight w:val="164"/>
          <w:jc w:val="center"/>
        </w:trPr>
        <w:tc>
          <w:tcPr>
            <w:tcW w:w="22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脱钩后固定资产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Arial" w:eastAsia="仿宋_GB2312" w:hAnsi="Arial" w:cs="Arial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国有（  ）万元</w:t>
            </w:r>
          </w:p>
        </w:tc>
        <w:tc>
          <w:tcPr>
            <w:tcW w:w="20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脱钩后流动资产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国有（  ）万元</w:t>
            </w:r>
          </w:p>
        </w:tc>
      </w:tr>
      <w:tr w:rsidR="00567B35" w:rsidRPr="00567B35" w:rsidTr="00332387">
        <w:trPr>
          <w:trHeight w:val="168"/>
          <w:jc w:val="center"/>
        </w:trPr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其他（  ）万元</w:t>
            </w: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其他（  ）万元</w:t>
            </w:r>
          </w:p>
        </w:tc>
      </w:tr>
    </w:tbl>
    <w:p w:rsidR="00567B35" w:rsidRPr="00567B35" w:rsidRDefault="00567B35" w:rsidP="00567B35">
      <w:pPr>
        <w:rPr>
          <w:rFonts w:ascii="宋体" w:hAnsi="宋体"/>
          <w:b/>
          <w:sz w:val="28"/>
          <w:szCs w:val="28"/>
        </w:rPr>
      </w:pPr>
    </w:p>
    <w:p w:rsidR="00567B35" w:rsidRPr="00567B35" w:rsidRDefault="00567B35" w:rsidP="00567B35">
      <w:pPr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lastRenderedPageBreak/>
        <w:t>（五）人员管理分离情况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48"/>
        <w:gridCol w:w="677"/>
        <w:gridCol w:w="583"/>
        <w:gridCol w:w="2882"/>
        <w:gridCol w:w="1790"/>
        <w:gridCol w:w="1793"/>
      </w:tblGrid>
      <w:tr w:rsidR="00567B35" w:rsidRPr="00567B35" w:rsidTr="00332387">
        <w:trPr>
          <w:trHeight w:val="359"/>
          <w:jc w:val="center"/>
        </w:trPr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现职和不担任现职但未办理退（离）休手续的公务员在行业协会商会兼职任职的脱钩情况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938"/>
          <w:jc w:val="center"/>
        </w:trPr>
        <w:tc>
          <w:tcPr>
            <w:tcW w:w="2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脱钩后退出行业协会商会工作（  ）人次，其中党和国家领导人（ ）人次、省部级（  ）人次、地厅级（  ）人次，其他（ ）人次。</w:t>
            </w:r>
          </w:p>
        </w:tc>
      </w:tr>
      <w:tr w:rsidR="00567B35" w:rsidRPr="00567B35" w:rsidTr="00332387">
        <w:trPr>
          <w:trHeight w:val="988"/>
          <w:jc w:val="center"/>
        </w:trPr>
        <w:tc>
          <w:tcPr>
            <w:tcW w:w="2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脱钩后留在行业协会商会工作，退出公务员管理（ ）人次，其中党和国家领导人（ ）人次、省部级（  ）人次、地厅级（  ）人次，其他（ ）人次。</w:t>
            </w:r>
            <w:r w:rsidRPr="00567B35">
              <w:rPr>
                <w:rFonts w:ascii="仿宋_GB2312" w:eastAsia="仿宋_GB2312" w:hint="eastAsia"/>
                <w:bCs/>
                <w:sz w:val="24"/>
              </w:rPr>
              <w:br/>
            </w:r>
          </w:p>
        </w:tc>
      </w:tr>
      <w:tr w:rsidR="00567B35" w:rsidRPr="00567B35" w:rsidTr="00332387">
        <w:trPr>
          <w:trHeight w:val="396"/>
          <w:jc w:val="center"/>
        </w:trPr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领导干部退（离）休未满三年在行业协会商会兼职的脱钩情况</w:t>
            </w: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238"/>
          <w:jc w:val="center"/>
        </w:trPr>
        <w:tc>
          <w:tcPr>
            <w:tcW w:w="2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脱钩后退出兼任职（  ）人次，其中党和国家领导人（ ）人次、省部级（  ）人次、地厅级（  ）人次，其他（ ）人次。</w:t>
            </w:r>
          </w:p>
        </w:tc>
      </w:tr>
      <w:tr w:rsidR="00567B35" w:rsidRPr="00567B35" w:rsidTr="00332387">
        <w:trPr>
          <w:trHeight w:val="968"/>
          <w:jc w:val="center"/>
        </w:trPr>
        <w:tc>
          <w:tcPr>
            <w:tcW w:w="2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left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脱钩后，继续兼任职（  ）人次，其中党和国家领导人（ ）人次、省部级（  ）人次、地厅级（  ）人次，其他（ ）人次。</w:t>
            </w:r>
          </w:p>
        </w:tc>
      </w:tr>
      <w:tr w:rsidR="00567B35" w:rsidRPr="00567B35" w:rsidTr="00332387">
        <w:trPr>
          <w:trHeight w:val="218"/>
          <w:jc w:val="center"/>
        </w:trPr>
        <w:tc>
          <w:tcPr>
            <w:tcW w:w="2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事业编制脱钩情况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410"/>
          <w:jc w:val="center"/>
        </w:trPr>
        <w:tc>
          <w:tcPr>
            <w:tcW w:w="29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□脱钩后核销事业编制（  ）个，保留事业编制（ ）个</w:t>
            </w:r>
          </w:p>
        </w:tc>
      </w:tr>
      <w:tr w:rsidR="00567B35" w:rsidRPr="00567B35" w:rsidTr="00332387">
        <w:trPr>
          <w:trHeight w:val="470"/>
          <w:jc w:val="center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现职和不担任现职但未办理退（离）休手续的公务员情况</w:t>
            </w:r>
          </w:p>
        </w:tc>
      </w:tr>
      <w:tr w:rsidR="00567B35" w:rsidRPr="00567B35" w:rsidTr="00332387">
        <w:trPr>
          <w:trHeight w:val="766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兼任行业协会商会职务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单 位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职 务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脱钩后情况</w:t>
            </w:r>
          </w:p>
        </w:tc>
      </w:tr>
      <w:tr w:rsidR="00567B35" w:rsidRPr="00567B35" w:rsidTr="004E7ED5">
        <w:trPr>
          <w:trHeight w:hRule="exact" w:val="45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4E7ED5">
        <w:trPr>
          <w:trHeight w:hRule="exact" w:val="454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609"/>
          <w:jc w:val="center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退（离）休未满三年的领导干部情况</w:t>
            </w:r>
          </w:p>
        </w:tc>
      </w:tr>
      <w:tr w:rsidR="00567B35" w:rsidRPr="00567B35" w:rsidTr="00332387">
        <w:trPr>
          <w:trHeight w:val="617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兼任行业协会商会职务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姓 名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原单位和职务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退（离）休时间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脱钩后情况</w:t>
            </w:r>
          </w:p>
        </w:tc>
      </w:tr>
      <w:tr w:rsidR="00567B35" w:rsidRPr="00567B35" w:rsidTr="00332387">
        <w:trPr>
          <w:trHeight w:val="407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482"/>
          <w:jc w:val="center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567B35" w:rsidRPr="00567B35" w:rsidRDefault="00567B35" w:rsidP="004E7ED5">
      <w:pPr>
        <w:spacing w:line="500" w:lineRule="exact"/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t>（六）党建分离情况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30"/>
        <w:gridCol w:w="2190"/>
        <w:gridCol w:w="2505"/>
        <w:gridCol w:w="2548"/>
      </w:tblGrid>
      <w:tr w:rsidR="00567B35" w:rsidRPr="00567B35" w:rsidTr="00332387">
        <w:trPr>
          <w:trHeight w:val="290"/>
          <w:jc w:val="center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党组织建立情况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党员人数</w:t>
            </w:r>
          </w:p>
        </w:tc>
        <w:tc>
          <w:tcPr>
            <w:tcW w:w="5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党的关系归口管理部门</w:t>
            </w:r>
          </w:p>
        </w:tc>
      </w:tr>
      <w:tr w:rsidR="00567B35" w:rsidRPr="00567B35" w:rsidTr="00332387">
        <w:trPr>
          <w:trHeight w:val="156"/>
          <w:jc w:val="center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脱钩前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</w:t>
            </w:r>
          </w:p>
        </w:tc>
      </w:tr>
      <w:tr w:rsidR="00567B35" w:rsidRPr="00567B35" w:rsidTr="00332387">
        <w:trPr>
          <w:trHeight w:val="2202"/>
          <w:jc w:val="center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□党委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□党总支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□党支部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□临时党组织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□联合党支部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□派党建指导员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□未建立党组织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567B35" w:rsidRPr="00567B35" w:rsidRDefault="00567B35" w:rsidP="00567B35">
      <w:pPr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lastRenderedPageBreak/>
        <w:t>（七）外事分离情况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0"/>
        <w:gridCol w:w="6973"/>
      </w:tblGrid>
      <w:tr w:rsidR="00567B35" w:rsidRPr="00567B35" w:rsidTr="00332387">
        <w:trPr>
          <w:trHeight w:val="90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外事审批权脱钩情况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382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□取消外事审批权</w:t>
            </w:r>
          </w:p>
        </w:tc>
      </w:tr>
      <w:tr w:rsidR="00567B35" w:rsidRPr="00567B35" w:rsidTr="00332387">
        <w:trPr>
          <w:trHeight w:val="432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□继续保留外事审批权</w:t>
            </w:r>
          </w:p>
        </w:tc>
      </w:tr>
      <w:tr w:rsidR="00567B35" w:rsidRPr="00567B35" w:rsidTr="00332387">
        <w:trPr>
          <w:trHeight w:val="44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脱钩前外事管理机关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41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脱钩后外事管理机关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567B35" w:rsidRPr="00567B35" w:rsidRDefault="00567B35" w:rsidP="00567B35">
      <w:pPr>
        <w:jc w:val="left"/>
        <w:rPr>
          <w:rFonts w:ascii="仿宋_GB2312" w:eastAsia="仿宋_GB2312"/>
          <w:bCs/>
          <w:color w:val="0000FF"/>
          <w:sz w:val="24"/>
        </w:rPr>
      </w:pPr>
    </w:p>
    <w:p w:rsidR="00567B35" w:rsidRPr="00567B35" w:rsidRDefault="00567B35" w:rsidP="00567B35">
      <w:pPr>
        <w:rPr>
          <w:rFonts w:ascii="仿宋_GB2312" w:eastAsia="仿宋_GB2312"/>
          <w:b/>
          <w:color w:val="0000FF"/>
          <w:sz w:val="24"/>
        </w:rPr>
      </w:pPr>
      <w:r w:rsidRPr="00567B35">
        <w:rPr>
          <w:rFonts w:ascii="宋体" w:hAnsi="宋体" w:hint="eastAsia"/>
          <w:b/>
          <w:sz w:val="28"/>
          <w:szCs w:val="28"/>
        </w:rPr>
        <w:t>（八）举办报纸期刊杂志情况</w:t>
      </w:r>
    </w:p>
    <w:tbl>
      <w:tblPr>
        <w:tblW w:w="9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2"/>
        <w:gridCol w:w="870"/>
        <w:gridCol w:w="1500"/>
        <w:gridCol w:w="1500"/>
        <w:gridCol w:w="1425"/>
        <w:gridCol w:w="2080"/>
      </w:tblGrid>
      <w:tr w:rsidR="00567B35" w:rsidRPr="00567B35" w:rsidTr="00332387">
        <w:trPr>
          <w:trHeight w:val="313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名称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 xml:space="preserve">刊号      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主管单位</w:t>
            </w: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主办单位</w:t>
            </w:r>
          </w:p>
        </w:tc>
      </w:tr>
      <w:tr w:rsidR="00567B35" w:rsidRPr="00567B35" w:rsidTr="00332387">
        <w:trPr>
          <w:trHeight w:val="321"/>
          <w:jc w:val="center"/>
        </w:trPr>
        <w:tc>
          <w:tcPr>
            <w:tcW w:w="2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脱钩前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脱钩前</w:t>
            </w:r>
          </w:p>
        </w:tc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</w:t>
            </w:r>
          </w:p>
        </w:tc>
      </w:tr>
      <w:tr w:rsidR="00567B35" w:rsidRPr="00567B35" w:rsidTr="00332387">
        <w:trPr>
          <w:trHeight w:val="34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29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29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290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567B35" w:rsidRPr="00567B35" w:rsidRDefault="00567B35" w:rsidP="00567B35">
      <w:pPr>
        <w:jc w:val="left"/>
        <w:rPr>
          <w:rFonts w:ascii="仿宋_GB2312" w:eastAsia="仿宋_GB2312"/>
          <w:bCs/>
          <w:color w:val="0000FF"/>
          <w:sz w:val="24"/>
        </w:rPr>
      </w:pPr>
    </w:p>
    <w:p w:rsidR="00567B35" w:rsidRPr="00567B35" w:rsidRDefault="00567B35" w:rsidP="00567B35">
      <w:pPr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t>（九）联系挂靠关系取消情况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5"/>
        <w:gridCol w:w="4215"/>
        <w:gridCol w:w="3403"/>
      </w:tblGrid>
      <w:tr w:rsidR="00567B35" w:rsidRPr="00567B35" w:rsidTr="00332387">
        <w:trPr>
          <w:trHeight w:val="140"/>
          <w:jc w:val="center"/>
        </w:trPr>
        <w:tc>
          <w:tcPr>
            <w:tcW w:w="23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与其他行政机关或参公管理单位的联系挂靠关系取消情况</w:t>
            </w:r>
          </w:p>
        </w:tc>
        <w:tc>
          <w:tcPr>
            <w:tcW w:w="76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□不涉及此事项</w:t>
            </w:r>
          </w:p>
        </w:tc>
      </w:tr>
      <w:tr w:rsidR="00567B35" w:rsidRPr="00567B35" w:rsidTr="00332387">
        <w:trPr>
          <w:trHeight w:val="292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涉及联系挂靠单位的脱钩事项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脱钩情况</w:t>
            </w:r>
          </w:p>
        </w:tc>
      </w:tr>
      <w:tr w:rsidR="00567B35" w:rsidRPr="00567B35" w:rsidTr="00332387">
        <w:trPr>
          <w:trHeight w:val="390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240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225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 w:rsidR="00567B35" w:rsidRPr="00567B35" w:rsidTr="00332387">
        <w:trPr>
          <w:trHeight w:val="290"/>
          <w:jc w:val="center"/>
        </w:trPr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567B35" w:rsidRPr="00567B35" w:rsidRDefault="00567B35" w:rsidP="004E7ED5">
      <w:pPr>
        <w:spacing w:line="400" w:lineRule="exact"/>
        <w:jc w:val="left"/>
        <w:rPr>
          <w:rFonts w:ascii="宋体" w:hAnsi="宋体"/>
          <w:bCs/>
          <w:sz w:val="28"/>
          <w:szCs w:val="28"/>
        </w:rPr>
      </w:pPr>
    </w:p>
    <w:p w:rsidR="00567B35" w:rsidRPr="00567B35" w:rsidRDefault="00567B35" w:rsidP="00567B35">
      <w:pPr>
        <w:jc w:val="left"/>
        <w:rPr>
          <w:rFonts w:ascii="宋体" w:hAnsi="宋体"/>
          <w:b/>
          <w:sz w:val="28"/>
          <w:szCs w:val="28"/>
        </w:rPr>
      </w:pPr>
      <w:r w:rsidRPr="00567B35">
        <w:rPr>
          <w:rFonts w:ascii="宋体" w:hAnsi="宋体" w:hint="eastAsia"/>
          <w:b/>
          <w:sz w:val="28"/>
          <w:szCs w:val="28"/>
        </w:rPr>
        <w:t>（十）脱钩后变更登记和备案手续办理情况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5"/>
        <w:gridCol w:w="975"/>
        <w:gridCol w:w="5402"/>
        <w:gridCol w:w="1241"/>
      </w:tblGrid>
      <w:tr w:rsidR="00567B35" w:rsidRPr="00567B35" w:rsidTr="00332387">
        <w:trPr>
          <w:trHeight w:val="67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脱钩后业务范围是否发生变化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</w:tr>
      <w:tr w:rsidR="00567B35" w:rsidRPr="00567B35" w:rsidTr="00332387">
        <w:trPr>
          <w:trHeight w:val="67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脱钩后住所</w:t>
            </w:r>
          </w:p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是否有变化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</w:tr>
      <w:tr w:rsidR="00567B35" w:rsidRPr="00567B35" w:rsidTr="00332387">
        <w:trPr>
          <w:trHeight w:val="67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脱钩后注册资金是否发生变化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</w:tr>
      <w:tr w:rsidR="00567B35" w:rsidRPr="00567B35" w:rsidTr="00332387">
        <w:trPr>
          <w:trHeight w:val="67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脱钩后法定代表人是否发生变动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如选是，是否按法定程序办理变更登记手续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</w:tr>
      <w:tr w:rsidR="00567B35" w:rsidRPr="00567B35" w:rsidTr="00332387">
        <w:trPr>
          <w:trHeight w:val="67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脱钩后章程是否修改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如选是，是否按法定程序办理章程核准手续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</w:tr>
      <w:tr w:rsidR="00567B35" w:rsidRPr="00567B35" w:rsidTr="00332387">
        <w:trPr>
          <w:trHeight w:val="679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脱钩后负责人是否发生变动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如选是，是否按法定程序办理变更备案手续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是</w:t>
            </w:r>
          </w:p>
          <w:p w:rsidR="00567B35" w:rsidRPr="00567B35" w:rsidRDefault="00567B35" w:rsidP="00567B35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 w:rsidRPr="00567B35">
              <w:rPr>
                <w:rFonts w:ascii="仿宋_GB2312" w:eastAsia="仿宋_GB2312" w:hint="eastAsia"/>
                <w:bCs/>
                <w:sz w:val="24"/>
              </w:rPr>
              <w:t>□ 否</w:t>
            </w:r>
          </w:p>
        </w:tc>
      </w:tr>
    </w:tbl>
    <w:p w:rsidR="00AF3B62" w:rsidRDefault="00AF3B62" w:rsidP="004E7ED5">
      <w:bookmarkStart w:id="0" w:name="_GoBack"/>
      <w:bookmarkEnd w:id="0"/>
    </w:p>
    <w:sectPr w:rsidR="00AF3B62" w:rsidSect="00F804E9">
      <w:headerReference w:type="even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065" w:rsidRDefault="00FB2065" w:rsidP="00F804E9">
      <w:r>
        <w:separator/>
      </w:r>
    </w:p>
  </w:endnote>
  <w:endnote w:type="continuationSeparator" w:id="1">
    <w:p w:rsidR="00FB2065" w:rsidRDefault="00FB2065" w:rsidP="00F8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167046"/>
    </w:sdtPr>
    <w:sdtEndPr>
      <w:rPr>
        <w:rFonts w:ascii="仿宋" w:eastAsia="仿宋" w:hAnsi="仿宋"/>
        <w:sz w:val="24"/>
        <w:szCs w:val="24"/>
      </w:rPr>
    </w:sdtEndPr>
    <w:sdtContent>
      <w:p w:rsidR="00B5039E" w:rsidRDefault="00F804E9">
        <w:pPr>
          <w:pStyle w:val="a3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 w:rsidR="00567B35"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567B35" w:rsidRPr="001B5C5F">
          <w:rPr>
            <w:rFonts w:ascii="仿宋" w:eastAsia="仿宋" w:hAnsi="仿宋"/>
            <w:noProof/>
            <w:sz w:val="24"/>
            <w:szCs w:val="24"/>
            <w:lang w:val="zh-CN"/>
          </w:rPr>
          <w:t>-</w:t>
        </w:r>
        <w:r w:rsidR="00567B35">
          <w:rPr>
            <w:rFonts w:ascii="仿宋" w:eastAsia="仿宋" w:hAnsi="仿宋"/>
            <w:noProof/>
            <w:sz w:val="24"/>
            <w:szCs w:val="24"/>
          </w:rPr>
          <w:t xml:space="preserve"> 4 -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B5039E" w:rsidRDefault="00FB206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78487"/>
    </w:sdtPr>
    <w:sdtEndPr>
      <w:rPr>
        <w:rFonts w:ascii="仿宋" w:eastAsia="仿宋" w:hAnsi="仿宋"/>
        <w:sz w:val="24"/>
        <w:szCs w:val="24"/>
      </w:rPr>
    </w:sdtEndPr>
    <w:sdtContent>
      <w:p w:rsidR="00B5039E" w:rsidRDefault="00F804E9">
        <w:pPr>
          <w:pStyle w:val="a3"/>
          <w:jc w:val="right"/>
          <w:rPr>
            <w:rFonts w:ascii="仿宋" w:eastAsia="仿宋" w:hAnsi="仿宋"/>
            <w:sz w:val="24"/>
            <w:szCs w:val="24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 w:rsidR="00567B35"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 w:rsidR="004E7ED5" w:rsidRPr="004E7ED5">
          <w:rPr>
            <w:rFonts w:ascii="仿宋" w:eastAsia="仿宋" w:hAnsi="仿宋"/>
            <w:noProof/>
            <w:sz w:val="24"/>
            <w:szCs w:val="24"/>
            <w:lang w:val="zh-CN"/>
          </w:rPr>
          <w:t>1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:rsidR="00B5039E" w:rsidRDefault="00FB20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065" w:rsidRDefault="00FB2065" w:rsidP="00F804E9">
      <w:r>
        <w:separator/>
      </w:r>
    </w:p>
  </w:footnote>
  <w:footnote w:type="continuationSeparator" w:id="1">
    <w:p w:rsidR="00FB2065" w:rsidRDefault="00FB2065" w:rsidP="00F80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39E" w:rsidRDefault="00FB206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7B35"/>
    <w:rsid w:val="004E7ED5"/>
    <w:rsid w:val="00567B35"/>
    <w:rsid w:val="00AF3B62"/>
    <w:rsid w:val="00F804E9"/>
    <w:rsid w:val="00FB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4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7B35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67B35"/>
    <w:rPr>
      <w:rFonts w:ascii="Calibri" w:hAnsi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7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7B35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4E7ED5"/>
    <w:rPr>
      <w:sz w:val="18"/>
      <w:szCs w:val="18"/>
    </w:rPr>
  </w:style>
  <w:style w:type="character" w:customStyle="1" w:styleId="Char1">
    <w:name w:val="批注框文本 Char"/>
    <w:basedOn w:val="a0"/>
    <w:link w:val="a5"/>
    <w:rsid w:val="004E7E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1162</Words>
  <Characters>1210</Characters>
  <Application>Microsoft Office Word</Application>
  <DocSecurity>0</DocSecurity>
  <Lines>80</Lines>
  <Paragraphs>49</Paragraphs>
  <ScaleCrop>false</ScaleCrop>
  <Company>Lenovo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郝华</dc:creator>
  <cp:keywords/>
  <dc:description/>
  <cp:lastModifiedBy>文印室</cp:lastModifiedBy>
  <cp:revision>2</cp:revision>
  <dcterms:created xsi:type="dcterms:W3CDTF">2017-03-30T02:15:00Z</dcterms:created>
  <dcterms:modified xsi:type="dcterms:W3CDTF">2017-03-30T02:15:00Z</dcterms:modified>
</cp:coreProperties>
</file>