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eastAsia="黑体"/>
          <w:sz w:val="32"/>
          <w:szCs w:val="32"/>
        </w:rPr>
      </w:pPr>
      <w:r>
        <w:rPr>
          <w:rFonts w:eastAsia="黑体"/>
          <w:sz w:val="32"/>
          <w:szCs w:val="32"/>
        </w:rPr>
        <w:t>附件</w:t>
      </w:r>
    </w:p>
    <w:p>
      <w:pPr>
        <w:spacing w:line="320" w:lineRule="exact"/>
        <w:rPr>
          <w:rFonts w:eastAsia="黑体"/>
          <w:sz w:val="32"/>
          <w:szCs w:val="32"/>
        </w:rPr>
      </w:pPr>
    </w:p>
    <w:p>
      <w:pPr>
        <w:spacing w:line="580" w:lineRule="exact"/>
        <w:jc w:val="center"/>
        <w:rPr>
          <w:rFonts w:eastAsia="方正小标宋简体"/>
          <w:sz w:val="44"/>
          <w:szCs w:val="44"/>
        </w:rPr>
      </w:pPr>
      <w:bookmarkStart w:id="0" w:name="_GoBack"/>
      <w:r>
        <w:rPr>
          <w:rFonts w:eastAsia="方正小标宋简体"/>
          <w:sz w:val="44"/>
          <w:szCs w:val="44"/>
        </w:rPr>
        <w:t>需要废止的股权投资基金和投资公司文件明细</w:t>
      </w:r>
    </w:p>
    <w:bookmarkEnd w:id="0"/>
    <w:p>
      <w:pPr>
        <w:spacing w:line="480" w:lineRule="exact"/>
        <w:ind w:right="26"/>
        <w:rPr>
          <w:rFonts w:eastAsia="黑体"/>
          <w:sz w:val="28"/>
        </w:rPr>
      </w:pPr>
    </w:p>
    <w:tbl>
      <w:tblPr>
        <w:tblStyle w:val="3"/>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6127"/>
        <w:gridCol w:w="3544"/>
        <w:gridCol w:w="3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jc w:val="center"/>
              <w:rPr>
                <w:sz w:val="32"/>
                <w:szCs w:val="32"/>
              </w:rPr>
            </w:pPr>
            <w:r>
              <w:rPr>
                <w:sz w:val="32"/>
                <w:szCs w:val="32"/>
              </w:rPr>
              <w:t>序号</w:t>
            </w:r>
          </w:p>
        </w:tc>
        <w:tc>
          <w:tcPr>
            <w:tcW w:w="6127" w:type="dxa"/>
            <w:noWrap w:val="0"/>
            <w:vAlign w:val="center"/>
          </w:tcPr>
          <w:p>
            <w:pPr>
              <w:jc w:val="center"/>
              <w:rPr>
                <w:sz w:val="32"/>
                <w:szCs w:val="32"/>
              </w:rPr>
            </w:pPr>
            <w:r>
              <w:rPr>
                <w:sz w:val="32"/>
                <w:szCs w:val="32"/>
              </w:rPr>
              <w:t>文件名称</w:t>
            </w:r>
          </w:p>
        </w:tc>
        <w:tc>
          <w:tcPr>
            <w:tcW w:w="3544" w:type="dxa"/>
            <w:noWrap w:val="0"/>
            <w:vAlign w:val="center"/>
          </w:tcPr>
          <w:p>
            <w:pPr>
              <w:jc w:val="center"/>
              <w:rPr>
                <w:sz w:val="32"/>
                <w:szCs w:val="32"/>
              </w:rPr>
            </w:pPr>
            <w:r>
              <w:rPr>
                <w:sz w:val="32"/>
                <w:szCs w:val="32"/>
              </w:rPr>
              <w:t>发文单位</w:t>
            </w:r>
          </w:p>
        </w:tc>
        <w:tc>
          <w:tcPr>
            <w:tcW w:w="3653" w:type="dxa"/>
            <w:noWrap w:val="0"/>
            <w:vAlign w:val="center"/>
          </w:tcPr>
          <w:p>
            <w:pPr>
              <w:jc w:val="center"/>
              <w:rPr>
                <w:sz w:val="32"/>
                <w:szCs w:val="32"/>
              </w:rPr>
            </w:pPr>
            <w:r>
              <w:rPr>
                <w:sz w:val="32"/>
                <w:szCs w:val="32"/>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959" w:type="dxa"/>
            <w:noWrap w:val="0"/>
            <w:vAlign w:val="center"/>
          </w:tcPr>
          <w:p>
            <w:pPr>
              <w:spacing w:line="400" w:lineRule="exact"/>
              <w:jc w:val="center"/>
              <w:rPr>
                <w:sz w:val="28"/>
                <w:szCs w:val="28"/>
              </w:rPr>
            </w:pPr>
            <w:r>
              <w:rPr>
                <w:sz w:val="28"/>
                <w:szCs w:val="28"/>
              </w:rPr>
              <w:t>1</w:t>
            </w:r>
          </w:p>
        </w:tc>
        <w:tc>
          <w:tcPr>
            <w:tcW w:w="6127" w:type="dxa"/>
            <w:noWrap w:val="0"/>
            <w:vAlign w:val="center"/>
          </w:tcPr>
          <w:p>
            <w:pPr>
              <w:spacing w:line="400" w:lineRule="exact"/>
              <w:jc w:val="center"/>
              <w:rPr>
                <w:sz w:val="28"/>
                <w:szCs w:val="28"/>
              </w:rPr>
            </w:pPr>
            <w:r>
              <w:rPr>
                <w:sz w:val="28"/>
                <w:szCs w:val="28"/>
              </w:rPr>
              <w:t>天津股权投资企业和股权投资管理机构管理办法</w:t>
            </w:r>
          </w:p>
        </w:tc>
        <w:tc>
          <w:tcPr>
            <w:tcW w:w="3544" w:type="dxa"/>
            <w:noWrap w:val="0"/>
            <w:vAlign w:val="center"/>
          </w:tcPr>
          <w:p>
            <w:pPr>
              <w:spacing w:line="400" w:lineRule="exact"/>
              <w:jc w:val="center"/>
              <w:rPr>
                <w:sz w:val="28"/>
                <w:szCs w:val="28"/>
              </w:rPr>
            </w:pPr>
            <w:r>
              <w:rPr>
                <w:sz w:val="28"/>
                <w:szCs w:val="28"/>
              </w:rPr>
              <w:t>市发改委、金融办、工商局、商务委、财政局</w:t>
            </w:r>
          </w:p>
        </w:tc>
        <w:tc>
          <w:tcPr>
            <w:tcW w:w="3653" w:type="dxa"/>
            <w:noWrap w:val="0"/>
            <w:vAlign w:val="center"/>
          </w:tcPr>
          <w:p>
            <w:pPr>
              <w:spacing w:line="400" w:lineRule="exact"/>
              <w:jc w:val="center"/>
              <w:rPr>
                <w:sz w:val="28"/>
                <w:szCs w:val="28"/>
              </w:rPr>
            </w:pPr>
            <w:r>
              <w:rPr>
                <w:sz w:val="28"/>
                <w:szCs w:val="28"/>
              </w:rPr>
              <w:t>津发改财金〔2011〕675号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959" w:type="dxa"/>
            <w:noWrap w:val="0"/>
            <w:vAlign w:val="center"/>
          </w:tcPr>
          <w:p>
            <w:pPr>
              <w:spacing w:line="400" w:lineRule="exact"/>
              <w:jc w:val="center"/>
              <w:rPr>
                <w:sz w:val="28"/>
                <w:szCs w:val="28"/>
              </w:rPr>
            </w:pPr>
            <w:r>
              <w:rPr>
                <w:sz w:val="28"/>
                <w:szCs w:val="28"/>
              </w:rPr>
              <w:t>2</w:t>
            </w:r>
          </w:p>
        </w:tc>
        <w:tc>
          <w:tcPr>
            <w:tcW w:w="6127" w:type="dxa"/>
            <w:noWrap w:val="0"/>
            <w:vAlign w:val="center"/>
          </w:tcPr>
          <w:p>
            <w:pPr>
              <w:spacing w:line="400" w:lineRule="exact"/>
              <w:jc w:val="center"/>
              <w:rPr>
                <w:sz w:val="28"/>
                <w:szCs w:val="28"/>
              </w:rPr>
            </w:pPr>
            <w:r>
              <w:rPr>
                <w:sz w:val="28"/>
                <w:szCs w:val="28"/>
              </w:rPr>
              <w:t>天津股权投资企业和股权投资管理机构管理办法补充通知</w:t>
            </w:r>
          </w:p>
        </w:tc>
        <w:tc>
          <w:tcPr>
            <w:tcW w:w="3544" w:type="dxa"/>
            <w:noWrap w:val="0"/>
            <w:vAlign w:val="center"/>
          </w:tcPr>
          <w:p>
            <w:pPr>
              <w:spacing w:line="400" w:lineRule="exact"/>
              <w:jc w:val="center"/>
              <w:rPr>
                <w:sz w:val="28"/>
                <w:szCs w:val="28"/>
              </w:rPr>
            </w:pPr>
            <w:r>
              <w:rPr>
                <w:sz w:val="28"/>
                <w:szCs w:val="28"/>
              </w:rPr>
              <w:t>市发改委、金融办、工商局、商务委、财政局</w:t>
            </w:r>
          </w:p>
        </w:tc>
        <w:tc>
          <w:tcPr>
            <w:tcW w:w="3653" w:type="dxa"/>
            <w:noWrap w:val="0"/>
            <w:vAlign w:val="center"/>
          </w:tcPr>
          <w:p>
            <w:pPr>
              <w:spacing w:line="400" w:lineRule="exact"/>
              <w:jc w:val="center"/>
              <w:rPr>
                <w:sz w:val="28"/>
                <w:szCs w:val="28"/>
              </w:rPr>
            </w:pPr>
            <w:r>
              <w:rPr>
                <w:sz w:val="28"/>
                <w:szCs w:val="28"/>
              </w:rPr>
              <w:t>津发改财金〔2012〕146号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959" w:type="dxa"/>
            <w:noWrap w:val="0"/>
            <w:vAlign w:val="center"/>
          </w:tcPr>
          <w:p>
            <w:pPr>
              <w:spacing w:line="400" w:lineRule="exact"/>
              <w:jc w:val="center"/>
              <w:rPr>
                <w:sz w:val="28"/>
                <w:szCs w:val="28"/>
              </w:rPr>
            </w:pPr>
            <w:r>
              <w:rPr>
                <w:sz w:val="28"/>
                <w:szCs w:val="28"/>
              </w:rPr>
              <w:t>3</w:t>
            </w:r>
          </w:p>
        </w:tc>
        <w:tc>
          <w:tcPr>
            <w:tcW w:w="6127" w:type="dxa"/>
            <w:noWrap w:val="0"/>
            <w:vAlign w:val="center"/>
          </w:tcPr>
          <w:p>
            <w:pPr>
              <w:spacing w:line="400" w:lineRule="exact"/>
              <w:jc w:val="center"/>
              <w:rPr>
                <w:sz w:val="28"/>
                <w:szCs w:val="28"/>
              </w:rPr>
            </w:pPr>
            <w:r>
              <w:rPr>
                <w:sz w:val="28"/>
                <w:szCs w:val="28"/>
              </w:rPr>
              <w:t>关于股权投资企业的单个出资人最低出资、首期实际出资和自然人出资有关问题的通知</w:t>
            </w:r>
          </w:p>
        </w:tc>
        <w:tc>
          <w:tcPr>
            <w:tcW w:w="3544" w:type="dxa"/>
            <w:noWrap w:val="0"/>
            <w:vAlign w:val="center"/>
          </w:tcPr>
          <w:p>
            <w:pPr>
              <w:spacing w:line="400" w:lineRule="exact"/>
              <w:jc w:val="center"/>
              <w:rPr>
                <w:sz w:val="28"/>
                <w:szCs w:val="28"/>
              </w:rPr>
            </w:pPr>
            <w:r>
              <w:rPr>
                <w:sz w:val="28"/>
                <w:szCs w:val="28"/>
              </w:rPr>
              <w:t>市发改委、金融办、工商局、商务委、财政局</w:t>
            </w:r>
          </w:p>
        </w:tc>
        <w:tc>
          <w:tcPr>
            <w:tcW w:w="3653" w:type="dxa"/>
            <w:noWrap w:val="0"/>
            <w:vAlign w:val="center"/>
          </w:tcPr>
          <w:p>
            <w:pPr>
              <w:spacing w:line="400" w:lineRule="exact"/>
              <w:jc w:val="center"/>
              <w:rPr>
                <w:sz w:val="28"/>
                <w:szCs w:val="28"/>
              </w:rPr>
            </w:pPr>
            <w:r>
              <w:rPr>
                <w:sz w:val="28"/>
                <w:szCs w:val="28"/>
              </w:rPr>
              <w:t>津发改财金〔2012〕822号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959" w:type="dxa"/>
            <w:noWrap w:val="0"/>
            <w:vAlign w:val="center"/>
          </w:tcPr>
          <w:p>
            <w:pPr>
              <w:spacing w:line="400" w:lineRule="exact"/>
              <w:jc w:val="center"/>
              <w:rPr>
                <w:sz w:val="28"/>
                <w:szCs w:val="28"/>
              </w:rPr>
            </w:pPr>
            <w:r>
              <w:rPr>
                <w:sz w:val="28"/>
                <w:szCs w:val="28"/>
              </w:rPr>
              <w:t>4</w:t>
            </w:r>
          </w:p>
        </w:tc>
        <w:tc>
          <w:tcPr>
            <w:tcW w:w="6127" w:type="dxa"/>
            <w:noWrap w:val="0"/>
            <w:vAlign w:val="center"/>
          </w:tcPr>
          <w:p>
            <w:pPr>
              <w:spacing w:line="400" w:lineRule="exact"/>
              <w:jc w:val="center"/>
              <w:rPr>
                <w:sz w:val="28"/>
                <w:szCs w:val="28"/>
              </w:rPr>
            </w:pPr>
            <w:r>
              <w:rPr>
                <w:sz w:val="28"/>
                <w:szCs w:val="28"/>
              </w:rPr>
              <w:t>关于印发加强股权投资企业和股权投资管理机构监管工作的通知</w:t>
            </w:r>
          </w:p>
        </w:tc>
        <w:tc>
          <w:tcPr>
            <w:tcW w:w="3544" w:type="dxa"/>
            <w:noWrap w:val="0"/>
            <w:vAlign w:val="center"/>
          </w:tcPr>
          <w:p>
            <w:pPr>
              <w:spacing w:line="400" w:lineRule="exact"/>
              <w:jc w:val="center"/>
              <w:rPr>
                <w:sz w:val="28"/>
                <w:szCs w:val="28"/>
              </w:rPr>
            </w:pPr>
            <w:r>
              <w:rPr>
                <w:sz w:val="28"/>
                <w:szCs w:val="28"/>
              </w:rPr>
              <w:t>市发改委、金融办、工商局、财政局</w:t>
            </w:r>
          </w:p>
        </w:tc>
        <w:tc>
          <w:tcPr>
            <w:tcW w:w="3653" w:type="dxa"/>
            <w:noWrap w:val="0"/>
            <w:vAlign w:val="center"/>
          </w:tcPr>
          <w:p>
            <w:pPr>
              <w:spacing w:line="400" w:lineRule="exact"/>
              <w:jc w:val="center"/>
              <w:rPr>
                <w:sz w:val="28"/>
                <w:szCs w:val="28"/>
              </w:rPr>
            </w:pPr>
            <w:r>
              <w:rPr>
                <w:sz w:val="28"/>
                <w:szCs w:val="28"/>
              </w:rPr>
              <w:t>津发改财金〔2012〕1047号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959" w:type="dxa"/>
            <w:noWrap w:val="0"/>
            <w:vAlign w:val="center"/>
          </w:tcPr>
          <w:p>
            <w:pPr>
              <w:spacing w:line="400" w:lineRule="exact"/>
              <w:jc w:val="center"/>
              <w:rPr>
                <w:sz w:val="28"/>
                <w:szCs w:val="28"/>
              </w:rPr>
            </w:pPr>
            <w:r>
              <w:rPr>
                <w:sz w:val="28"/>
                <w:szCs w:val="28"/>
              </w:rPr>
              <w:t>5</w:t>
            </w:r>
          </w:p>
        </w:tc>
        <w:tc>
          <w:tcPr>
            <w:tcW w:w="6127" w:type="dxa"/>
            <w:noWrap w:val="0"/>
            <w:vAlign w:val="center"/>
          </w:tcPr>
          <w:p>
            <w:pPr>
              <w:spacing w:line="400" w:lineRule="exact"/>
              <w:jc w:val="center"/>
              <w:rPr>
                <w:sz w:val="28"/>
                <w:szCs w:val="28"/>
              </w:rPr>
            </w:pPr>
            <w:r>
              <w:rPr>
                <w:sz w:val="28"/>
                <w:szCs w:val="28"/>
              </w:rPr>
              <w:t>关于加强股权投资企业托管规范管理的通知</w:t>
            </w:r>
          </w:p>
        </w:tc>
        <w:tc>
          <w:tcPr>
            <w:tcW w:w="3544" w:type="dxa"/>
            <w:noWrap w:val="0"/>
            <w:vAlign w:val="center"/>
          </w:tcPr>
          <w:p>
            <w:pPr>
              <w:spacing w:line="400" w:lineRule="exact"/>
              <w:jc w:val="center"/>
              <w:rPr>
                <w:sz w:val="28"/>
                <w:szCs w:val="28"/>
              </w:rPr>
            </w:pPr>
            <w:r>
              <w:rPr>
                <w:sz w:val="28"/>
                <w:szCs w:val="28"/>
              </w:rPr>
              <w:t>市发改委、人行天津分行、金融办、天津银监局</w:t>
            </w:r>
          </w:p>
        </w:tc>
        <w:tc>
          <w:tcPr>
            <w:tcW w:w="3653" w:type="dxa"/>
            <w:noWrap w:val="0"/>
            <w:vAlign w:val="center"/>
          </w:tcPr>
          <w:p>
            <w:pPr>
              <w:spacing w:line="400" w:lineRule="exact"/>
              <w:jc w:val="center"/>
              <w:rPr>
                <w:sz w:val="28"/>
                <w:szCs w:val="28"/>
              </w:rPr>
            </w:pPr>
            <w:r>
              <w:rPr>
                <w:sz w:val="28"/>
                <w:szCs w:val="28"/>
              </w:rPr>
              <w:t>津发改财金〔2012〕1135号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jc w:val="center"/>
              <w:rPr>
                <w:sz w:val="28"/>
                <w:szCs w:val="28"/>
              </w:rPr>
            </w:pPr>
            <w:r>
              <w:rPr>
                <w:sz w:val="28"/>
                <w:szCs w:val="28"/>
              </w:rPr>
              <w:t>6</w:t>
            </w:r>
          </w:p>
        </w:tc>
        <w:tc>
          <w:tcPr>
            <w:tcW w:w="6127" w:type="dxa"/>
            <w:noWrap w:val="0"/>
            <w:vAlign w:val="center"/>
          </w:tcPr>
          <w:p>
            <w:pPr>
              <w:spacing w:line="400" w:lineRule="exact"/>
              <w:jc w:val="center"/>
              <w:rPr>
                <w:sz w:val="28"/>
                <w:szCs w:val="28"/>
              </w:rPr>
            </w:pPr>
            <w:r>
              <w:rPr>
                <w:sz w:val="28"/>
                <w:szCs w:val="28"/>
              </w:rPr>
              <w:t>关于支持知名、规范的股权投资企业办理工商年检、备案等业务的通知</w:t>
            </w:r>
          </w:p>
        </w:tc>
        <w:tc>
          <w:tcPr>
            <w:tcW w:w="3544" w:type="dxa"/>
            <w:noWrap w:val="0"/>
            <w:vAlign w:val="center"/>
          </w:tcPr>
          <w:p>
            <w:pPr>
              <w:spacing w:line="400" w:lineRule="exact"/>
              <w:jc w:val="center"/>
              <w:rPr>
                <w:sz w:val="28"/>
                <w:szCs w:val="28"/>
              </w:rPr>
            </w:pPr>
            <w:r>
              <w:rPr>
                <w:sz w:val="28"/>
                <w:szCs w:val="28"/>
              </w:rPr>
              <w:t>市发改委、金融办、工商局</w:t>
            </w:r>
          </w:p>
        </w:tc>
        <w:tc>
          <w:tcPr>
            <w:tcW w:w="3653" w:type="dxa"/>
            <w:noWrap w:val="0"/>
            <w:vAlign w:val="center"/>
          </w:tcPr>
          <w:p>
            <w:pPr>
              <w:jc w:val="center"/>
              <w:rPr>
                <w:sz w:val="28"/>
                <w:szCs w:val="28"/>
              </w:rPr>
            </w:pPr>
            <w:r>
              <w:rPr>
                <w:sz w:val="28"/>
                <w:szCs w:val="28"/>
              </w:rPr>
              <w:t>津发改财金〔2013〕198号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jc w:val="center"/>
              <w:rPr>
                <w:sz w:val="32"/>
                <w:szCs w:val="32"/>
              </w:rPr>
            </w:pPr>
            <w:r>
              <w:rPr>
                <w:sz w:val="32"/>
                <w:szCs w:val="32"/>
              </w:rPr>
              <w:t>序号</w:t>
            </w:r>
          </w:p>
        </w:tc>
        <w:tc>
          <w:tcPr>
            <w:tcW w:w="6127" w:type="dxa"/>
            <w:noWrap w:val="0"/>
            <w:vAlign w:val="center"/>
          </w:tcPr>
          <w:p>
            <w:pPr>
              <w:jc w:val="center"/>
              <w:rPr>
                <w:sz w:val="32"/>
                <w:szCs w:val="32"/>
              </w:rPr>
            </w:pPr>
            <w:r>
              <w:rPr>
                <w:sz w:val="32"/>
                <w:szCs w:val="32"/>
              </w:rPr>
              <w:t>文件名称</w:t>
            </w:r>
          </w:p>
        </w:tc>
        <w:tc>
          <w:tcPr>
            <w:tcW w:w="3544" w:type="dxa"/>
            <w:noWrap w:val="0"/>
            <w:vAlign w:val="center"/>
          </w:tcPr>
          <w:p>
            <w:pPr>
              <w:jc w:val="center"/>
              <w:rPr>
                <w:sz w:val="32"/>
                <w:szCs w:val="32"/>
              </w:rPr>
            </w:pPr>
            <w:r>
              <w:rPr>
                <w:sz w:val="32"/>
                <w:szCs w:val="32"/>
              </w:rPr>
              <w:t>发文单位</w:t>
            </w:r>
          </w:p>
        </w:tc>
        <w:tc>
          <w:tcPr>
            <w:tcW w:w="3653" w:type="dxa"/>
            <w:noWrap w:val="0"/>
            <w:vAlign w:val="center"/>
          </w:tcPr>
          <w:p>
            <w:pPr>
              <w:jc w:val="center"/>
              <w:rPr>
                <w:sz w:val="32"/>
                <w:szCs w:val="32"/>
              </w:rPr>
            </w:pPr>
            <w:r>
              <w:rPr>
                <w:sz w:val="32"/>
                <w:szCs w:val="32"/>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959" w:type="dxa"/>
            <w:noWrap w:val="0"/>
            <w:vAlign w:val="center"/>
          </w:tcPr>
          <w:p>
            <w:pPr>
              <w:spacing w:line="400" w:lineRule="exact"/>
              <w:jc w:val="center"/>
              <w:rPr>
                <w:color w:val="000000"/>
                <w:sz w:val="32"/>
                <w:szCs w:val="32"/>
              </w:rPr>
            </w:pPr>
            <w:r>
              <w:rPr>
                <w:color w:val="000000"/>
                <w:sz w:val="28"/>
                <w:szCs w:val="28"/>
              </w:rPr>
              <w:t>7</w:t>
            </w:r>
          </w:p>
        </w:tc>
        <w:tc>
          <w:tcPr>
            <w:tcW w:w="6127" w:type="dxa"/>
            <w:noWrap w:val="0"/>
            <w:vAlign w:val="center"/>
          </w:tcPr>
          <w:p>
            <w:pPr>
              <w:spacing w:line="400" w:lineRule="exact"/>
              <w:jc w:val="center"/>
              <w:rPr>
                <w:color w:val="000000"/>
                <w:sz w:val="32"/>
                <w:szCs w:val="32"/>
              </w:rPr>
            </w:pPr>
            <w:r>
              <w:rPr>
                <w:color w:val="000000"/>
                <w:sz w:val="28"/>
                <w:szCs w:val="28"/>
              </w:rPr>
              <w:t>关于印发《关于本市开展外商投资股权投资企业及其管理机构试点工作的暂行办法》的通知</w:t>
            </w:r>
          </w:p>
        </w:tc>
        <w:tc>
          <w:tcPr>
            <w:tcW w:w="3544" w:type="dxa"/>
            <w:noWrap w:val="0"/>
            <w:vAlign w:val="center"/>
          </w:tcPr>
          <w:p>
            <w:pPr>
              <w:spacing w:line="400" w:lineRule="exact"/>
              <w:jc w:val="center"/>
              <w:rPr>
                <w:color w:val="000000"/>
                <w:sz w:val="32"/>
                <w:szCs w:val="32"/>
              </w:rPr>
            </w:pPr>
            <w:r>
              <w:rPr>
                <w:color w:val="000000"/>
                <w:sz w:val="28"/>
                <w:szCs w:val="28"/>
              </w:rPr>
              <w:t>市发改委、金融办、工商局、商务委</w:t>
            </w:r>
          </w:p>
        </w:tc>
        <w:tc>
          <w:tcPr>
            <w:tcW w:w="3653" w:type="dxa"/>
            <w:noWrap w:val="0"/>
            <w:vAlign w:val="center"/>
          </w:tcPr>
          <w:p>
            <w:pPr>
              <w:jc w:val="center"/>
              <w:rPr>
                <w:color w:val="000000"/>
                <w:sz w:val="32"/>
                <w:szCs w:val="32"/>
              </w:rPr>
            </w:pPr>
            <w:r>
              <w:rPr>
                <w:color w:val="000000"/>
                <w:sz w:val="28"/>
                <w:szCs w:val="28"/>
              </w:rPr>
              <w:t>津发改财金〔2011〕1206号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959" w:type="dxa"/>
            <w:noWrap w:val="0"/>
            <w:vAlign w:val="center"/>
          </w:tcPr>
          <w:p>
            <w:pPr>
              <w:spacing w:line="400" w:lineRule="exact"/>
              <w:jc w:val="center"/>
              <w:rPr>
                <w:color w:val="000000"/>
                <w:sz w:val="28"/>
                <w:szCs w:val="28"/>
              </w:rPr>
            </w:pPr>
            <w:r>
              <w:rPr>
                <w:color w:val="000000"/>
                <w:sz w:val="28"/>
                <w:szCs w:val="28"/>
              </w:rPr>
              <w:t>8</w:t>
            </w:r>
          </w:p>
        </w:tc>
        <w:tc>
          <w:tcPr>
            <w:tcW w:w="6127" w:type="dxa"/>
            <w:noWrap w:val="0"/>
            <w:vAlign w:val="center"/>
          </w:tcPr>
          <w:p>
            <w:pPr>
              <w:spacing w:line="400" w:lineRule="exact"/>
              <w:jc w:val="center"/>
              <w:rPr>
                <w:color w:val="000000"/>
                <w:sz w:val="28"/>
                <w:szCs w:val="28"/>
              </w:rPr>
            </w:pPr>
            <w:r>
              <w:rPr>
                <w:color w:val="000000"/>
                <w:sz w:val="28"/>
                <w:szCs w:val="28"/>
              </w:rPr>
              <w:t>关于印发《关于本市开展外商投资股权投资企业及其管理机构试点工作的暂行办法的实施细则》的通知</w:t>
            </w:r>
          </w:p>
        </w:tc>
        <w:tc>
          <w:tcPr>
            <w:tcW w:w="3544" w:type="dxa"/>
            <w:noWrap w:val="0"/>
            <w:vAlign w:val="center"/>
          </w:tcPr>
          <w:p>
            <w:pPr>
              <w:spacing w:line="400" w:lineRule="exact"/>
              <w:jc w:val="center"/>
              <w:rPr>
                <w:color w:val="000000"/>
                <w:sz w:val="28"/>
                <w:szCs w:val="28"/>
              </w:rPr>
            </w:pPr>
            <w:r>
              <w:rPr>
                <w:color w:val="000000"/>
                <w:sz w:val="28"/>
                <w:szCs w:val="28"/>
              </w:rPr>
              <w:t>市发改委、金融办、工商局、商务委</w:t>
            </w:r>
          </w:p>
        </w:tc>
        <w:tc>
          <w:tcPr>
            <w:tcW w:w="3653" w:type="dxa"/>
            <w:noWrap w:val="0"/>
            <w:vAlign w:val="center"/>
          </w:tcPr>
          <w:p>
            <w:pPr>
              <w:spacing w:line="400" w:lineRule="exact"/>
              <w:jc w:val="center"/>
              <w:rPr>
                <w:color w:val="000000"/>
                <w:sz w:val="28"/>
                <w:szCs w:val="28"/>
              </w:rPr>
            </w:pPr>
            <w:r>
              <w:rPr>
                <w:color w:val="000000"/>
                <w:sz w:val="28"/>
                <w:szCs w:val="28"/>
              </w:rPr>
              <w:t>津发改财金〔2011〕1207号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959" w:type="dxa"/>
            <w:noWrap w:val="0"/>
            <w:vAlign w:val="center"/>
          </w:tcPr>
          <w:p>
            <w:pPr>
              <w:spacing w:line="400" w:lineRule="exact"/>
              <w:jc w:val="center"/>
              <w:rPr>
                <w:color w:val="000000"/>
                <w:sz w:val="28"/>
                <w:szCs w:val="28"/>
              </w:rPr>
            </w:pPr>
            <w:r>
              <w:rPr>
                <w:color w:val="000000"/>
                <w:sz w:val="28"/>
                <w:szCs w:val="28"/>
              </w:rPr>
              <w:t>9</w:t>
            </w:r>
          </w:p>
        </w:tc>
        <w:tc>
          <w:tcPr>
            <w:tcW w:w="6127" w:type="dxa"/>
            <w:noWrap w:val="0"/>
            <w:vAlign w:val="center"/>
          </w:tcPr>
          <w:p>
            <w:pPr>
              <w:spacing w:line="400" w:lineRule="exact"/>
              <w:jc w:val="center"/>
              <w:rPr>
                <w:sz w:val="28"/>
                <w:szCs w:val="28"/>
              </w:rPr>
            </w:pPr>
            <w:r>
              <w:rPr>
                <w:sz w:val="28"/>
                <w:szCs w:val="28"/>
              </w:rPr>
              <w:t>关于加强投资类企业注册登记和管理工作的通知</w:t>
            </w:r>
          </w:p>
        </w:tc>
        <w:tc>
          <w:tcPr>
            <w:tcW w:w="3544" w:type="dxa"/>
            <w:noWrap w:val="0"/>
            <w:vAlign w:val="center"/>
          </w:tcPr>
          <w:p>
            <w:pPr>
              <w:spacing w:line="400" w:lineRule="exact"/>
              <w:jc w:val="center"/>
              <w:rPr>
                <w:sz w:val="28"/>
                <w:szCs w:val="28"/>
              </w:rPr>
            </w:pPr>
            <w:r>
              <w:rPr>
                <w:sz w:val="28"/>
                <w:szCs w:val="28"/>
              </w:rPr>
              <w:t>市发改委、工商局</w:t>
            </w:r>
          </w:p>
        </w:tc>
        <w:tc>
          <w:tcPr>
            <w:tcW w:w="3653" w:type="dxa"/>
            <w:noWrap w:val="0"/>
            <w:vAlign w:val="center"/>
          </w:tcPr>
          <w:p>
            <w:pPr>
              <w:spacing w:line="400" w:lineRule="exact"/>
              <w:jc w:val="center"/>
              <w:rPr>
                <w:sz w:val="28"/>
                <w:szCs w:val="28"/>
              </w:rPr>
            </w:pPr>
            <w:r>
              <w:rPr>
                <w:sz w:val="28"/>
                <w:szCs w:val="28"/>
              </w:rPr>
              <w:t>津发改财金〔2013〕1285号</w:t>
            </w:r>
          </w:p>
        </w:tc>
      </w:tr>
    </w:tbl>
    <w:p>
      <w:pPr>
        <w:spacing w:line="480" w:lineRule="exact"/>
        <w:ind w:right="26"/>
        <w:rPr>
          <w:rFonts w:eastAsia="黑体"/>
          <w:sz w:val="28"/>
        </w:rPr>
      </w:pPr>
    </w:p>
    <w:p>
      <w:pPr>
        <w:spacing w:line="480" w:lineRule="exact"/>
        <w:ind w:right="26"/>
        <w:rPr>
          <w:rFonts w:eastAsia="黑体"/>
          <w:sz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32E238CC"/>
    <w:rsid w:val="32E23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2023-01-13T05:46:00Z</dcterms:created>
  <dc:creator>WPS_1628732352</dc:creator>
  <cp:lastModifiedBy>WPS_1628732352</cp:lastModifiedBy>
  <dcterms:modified xsi:type="dcterms:W3CDTF">2023-01-13T05:46:56Z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4F2EE3FEE09145FDB8BCCE0E928FBA21</vt:lpwstr>
  </property>
</Properties>
</file>