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spacing w:line="585" w:lineRule="atLeast"/>
        <w:ind w:left="0" w:firstLine="0"/>
        <w:jc w:val="center"/>
        <w:rPr>
          <w:rFonts w:ascii="sans-serif" w:hAnsi="sans-serif" w:eastAsia="sans-serif" w:cs="sans-serif"/>
          <w:i w:val="0"/>
          <w:iCs w:val="0"/>
          <w:caps w:val="0"/>
          <w:color w:val="000000"/>
          <w:spacing w:val="0"/>
          <w:sz w:val="27"/>
          <w:szCs w:val="27"/>
        </w:rPr>
      </w:pPr>
      <w:bookmarkStart w:id="0" w:name="_GoBack"/>
      <w:r>
        <w:rPr>
          <w:rFonts w:ascii="方正小标宋简体" w:hAnsi="方正小标宋简体" w:eastAsia="方正小标宋简体" w:cs="方正小标宋简体"/>
          <w:i w:val="0"/>
          <w:iCs w:val="0"/>
          <w:caps w:val="0"/>
          <w:color w:val="000000"/>
          <w:spacing w:val="0"/>
          <w:sz w:val="43"/>
          <w:szCs w:val="43"/>
        </w:rPr>
        <w:t>天津市城市燃气管网配气价格管理办法</w:t>
      </w:r>
      <w:bookmarkEnd w:id="0"/>
    </w:p>
    <w:p>
      <w:pPr>
        <w:pStyle w:val="9"/>
        <w:keepNext w:val="0"/>
        <w:keepLines w:val="0"/>
        <w:widowControl/>
        <w:suppressLineNumbers w:val="0"/>
        <w:spacing w:before="315" w:beforeAutospacing="0" w:after="315" w:afterAutospacing="0" w:line="585" w:lineRule="atLeast"/>
        <w:ind w:left="0" w:firstLine="0"/>
        <w:jc w:val="center"/>
        <w:rPr>
          <w:rFonts w:hint="default" w:ascii="sans-serif" w:hAnsi="sans-serif" w:eastAsia="sans-serif" w:cs="sans-serif"/>
          <w:i w:val="0"/>
          <w:iCs w:val="0"/>
          <w:caps w:val="0"/>
          <w:color w:val="000000"/>
          <w:spacing w:val="0"/>
          <w:sz w:val="27"/>
          <w:szCs w:val="27"/>
        </w:rPr>
      </w:pPr>
      <w:r>
        <w:rPr>
          <w:rFonts w:ascii="黑体" w:hAnsi="宋体" w:eastAsia="黑体" w:cs="黑体"/>
          <w:i w:val="0"/>
          <w:iCs w:val="0"/>
          <w:caps w:val="0"/>
          <w:color w:val="000000"/>
          <w:spacing w:val="0"/>
          <w:sz w:val="31"/>
          <w:szCs w:val="31"/>
        </w:rPr>
        <w:t>第一章</w:t>
      </w:r>
      <w:r>
        <w:rPr>
          <w:rFonts w:hint="eastAsia" w:cs="Times New Roman"/>
          <w:i w:val="0"/>
          <w:iCs w:val="0"/>
          <w:caps w:val="0"/>
          <w:color w:val="000000"/>
          <w:spacing w:val="0"/>
          <w:sz w:val="31"/>
          <w:szCs w:val="31"/>
          <w:lang w:eastAsia="zh-CN"/>
        </w:rPr>
        <w:t xml:space="preserve"> </w:t>
      </w:r>
      <w:r>
        <w:rPr>
          <w:rFonts w:hint="eastAsia" w:ascii="黑体" w:hAnsi="宋体" w:eastAsia="黑体" w:cs="黑体"/>
          <w:i w:val="0"/>
          <w:iCs w:val="0"/>
          <w:caps w:val="0"/>
          <w:color w:val="000000"/>
          <w:spacing w:val="0"/>
          <w:sz w:val="31"/>
          <w:szCs w:val="31"/>
        </w:rPr>
        <w:t>总则</w:t>
      </w:r>
    </w:p>
    <w:p>
      <w:pPr>
        <w:pStyle w:val="9"/>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第一条</w:t>
      </w:r>
      <w:r>
        <w:rPr>
          <w:rStyle w:val="13"/>
          <w:rFonts w:hint="eastAsia" w:cs="Times New Roman"/>
          <w:i w:val="0"/>
          <w:iCs w:val="0"/>
          <w:caps w:val="0"/>
          <w:color w:val="000000"/>
          <w:spacing w:val="0"/>
          <w:sz w:val="31"/>
          <w:szCs w:val="31"/>
          <w:lang w:eastAsia="zh-CN"/>
        </w:rPr>
        <w:t xml:space="preserve"> </w:t>
      </w:r>
      <w:r>
        <w:rPr>
          <w:rFonts w:ascii="仿宋_GB2312" w:hAnsi="Times New Roman" w:eastAsia="仿宋_GB2312" w:cs="仿宋_GB2312"/>
          <w:i w:val="0"/>
          <w:iCs w:val="0"/>
          <w:caps w:val="0"/>
          <w:color w:val="000000"/>
          <w:spacing w:val="0"/>
          <w:sz w:val="31"/>
          <w:szCs w:val="31"/>
        </w:rPr>
        <w:t>为加强和规范城市燃气管网配送环节价格监管，提高定价合理性和透明度，促进城市管道天然气行业健康发展，根据《中华人民共和国价格法》、《政府制定价格行为规则》、国家发展改革委《关于加强配气价格监管的指导意见》（发改价格</w:t>
      </w:r>
      <w:r>
        <w:rPr>
          <w:rFonts w:hint="default" w:ascii="Times New Roman" w:hAnsi="Times New Roman" w:eastAsia="sans-serif" w:cs="Times New Roman"/>
          <w:i w:val="0"/>
          <w:iCs w:val="0"/>
          <w:caps w:val="0"/>
          <w:color w:val="000000"/>
          <w:spacing w:val="0"/>
          <w:sz w:val="31"/>
          <w:szCs w:val="31"/>
        </w:rPr>
        <w:t>[2017]1171</w:t>
      </w:r>
      <w:r>
        <w:rPr>
          <w:rFonts w:hint="default" w:ascii="仿宋_GB2312" w:hAnsi="Times New Roman" w:eastAsia="仿宋_GB2312" w:cs="仿宋_GB2312"/>
          <w:i w:val="0"/>
          <w:iCs w:val="0"/>
          <w:caps w:val="0"/>
          <w:color w:val="000000"/>
          <w:spacing w:val="0"/>
          <w:sz w:val="31"/>
          <w:szCs w:val="31"/>
        </w:rPr>
        <w:t>号）等规定，结合我市实际，制定本办法。</w:t>
      </w:r>
    </w:p>
    <w:p>
      <w:pPr>
        <w:pStyle w:val="9"/>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第二条</w:t>
      </w:r>
      <w:r>
        <w:rPr>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本办法适用于天津市行政区域内城市燃气管网配气价格的制定和调整。</w:t>
      </w:r>
    </w:p>
    <w:p>
      <w:pPr>
        <w:pStyle w:val="9"/>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第三条</w:t>
      </w:r>
      <w:r>
        <w:rPr>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本办法所称城市燃气管网配气价格（以下简称</w:t>
      </w:r>
      <w:r>
        <w:rPr>
          <w:rFonts w:hint="default" w:ascii="Times New Roman" w:hAnsi="Times New Roman" w:eastAsia="sans-serif" w:cs="Times New Roman"/>
          <w:i w:val="0"/>
          <w:iCs w:val="0"/>
          <w:caps w:val="0"/>
          <w:color w:val="000000"/>
          <w:spacing w:val="0"/>
          <w:sz w:val="31"/>
          <w:szCs w:val="31"/>
        </w:rPr>
        <w:t>“</w:t>
      </w:r>
      <w:r>
        <w:rPr>
          <w:rFonts w:hint="default" w:ascii="仿宋_GB2312" w:hAnsi="Times New Roman" w:eastAsia="仿宋_GB2312" w:cs="仿宋_GB2312"/>
          <w:i w:val="0"/>
          <w:iCs w:val="0"/>
          <w:caps w:val="0"/>
          <w:color w:val="000000"/>
          <w:spacing w:val="0"/>
          <w:sz w:val="31"/>
          <w:szCs w:val="31"/>
        </w:rPr>
        <w:t>配气价格</w:t>
      </w:r>
      <w:r>
        <w:rPr>
          <w:rFonts w:hint="default" w:ascii="Times New Roman" w:hAnsi="Times New Roman" w:eastAsia="sans-serif" w:cs="Times New Roman"/>
          <w:i w:val="0"/>
          <w:iCs w:val="0"/>
          <w:caps w:val="0"/>
          <w:color w:val="000000"/>
          <w:spacing w:val="0"/>
          <w:sz w:val="31"/>
          <w:szCs w:val="31"/>
        </w:rPr>
        <w:t>”</w:t>
      </w:r>
      <w:r>
        <w:rPr>
          <w:rFonts w:hint="default" w:ascii="仿宋_GB2312" w:hAnsi="Times New Roman" w:eastAsia="仿宋_GB2312" w:cs="仿宋_GB2312"/>
          <w:i w:val="0"/>
          <w:iCs w:val="0"/>
          <w:caps w:val="0"/>
          <w:color w:val="000000"/>
          <w:spacing w:val="0"/>
          <w:sz w:val="31"/>
          <w:szCs w:val="31"/>
        </w:rPr>
        <w:t>）是指管道天然气经营者通过城市燃气管网系统（包括延伸至农村地区的管网）向终端用户提供管道天然气配送服务的价格。其中，管道天然气经营者（以下简称</w:t>
      </w:r>
      <w:r>
        <w:rPr>
          <w:rFonts w:hint="default" w:ascii="Times New Roman" w:hAnsi="Times New Roman" w:eastAsia="sans-serif" w:cs="Times New Roman"/>
          <w:i w:val="0"/>
          <w:iCs w:val="0"/>
          <w:caps w:val="0"/>
          <w:color w:val="000000"/>
          <w:spacing w:val="0"/>
          <w:sz w:val="31"/>
          <w:szCs w:val="31"/>
        </w:rPr>
        <w:t>“</w:t>
      </w:r>
      <w:r>
        <w:rPr>
          <w:rFonts w:hint="default" w:ascii="仿宋_GB2312" w:hAnsi="Times New Roman" w:eastAsia="仿宋_GB2312" w:cs="仿宋_GB2312"/>
          <w:i w:val="0"/>
          <w:iCs w:val="0"/>
          <w:caps w:val="0"/>
          <w:color w:val="000000"/>
          <w:spacing w:val="0"/>
          <w:sz w:val="31"/>
          <w:szCs w:val="31"/>
        </w:rPr>
        <w:t>经营者</w:t>
      </w:r>
      <w:r>
        <w:rPr>
          <w:rFonts w:hint="default" w:ascii="Times New Roman" w:hAnsi="Times New Roman" w:eastAsia="sans-serif" w:cs="Times New Roman"/>
          <w:i w:val="0"/>
          <w:iCs w:val="0"/>
          <w:caps w:val="0"/>
          <w:color w:val="000000"/>
          <w:spacing w:val="0"/>
          <w:sz w:val="31"/>
          <w:szCs w:val="31"/>
        </w:rPr>
        <w:t>”</w:t>
      </w:r>
      <w:r>
        <w:rPr>
          <w:rFonts w:hint="default" w:ascii="仿宋_GB2312" w:hAnsi="Times New Roman" w:eastAsia="仿宋_GB2312" w:cs="仿宋_GB2312"/>
          <w:i w:val="0"/>
          <w:iCs w:val="0"/>
          <w:caps w:val="0"/>
          <w:color w:val="000000"/>
          <w:spacing w:val="0"/>
          <w:sz w:val="31"/>
          <w:szCs w:val="31"/>
        </w:rPr>
        <w:t>）是指依法取得燃气经营许可，拥有独立的城市燃气管网系统，从事管道天然气经营的独立法人。城市燃气管网系统包括本市区域内进气门站、配气管网、调压设施、自建自用的储气设施等与配气业务相关的设施。</w:t>
      </w:r>
    </w:p>
    <w:p>
      <w:pPr>
        <w:pStyle w:val="9"/>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第四条</w:t>
      </w:r>
      <w:r>
        <w:rPr>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经营者向用户提供燃气配送服务，通过配气价格弥补成本并获得合理收益。</w:t>
      </w:r>
    </w:p>
    <w:p>
      <w:pPr>
        <w:pStyle w:val="9"/>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第五条</w:t>
      </w:r>
      <w:r>
        <w:rPr>
          <w:rStyle w:val="13"/>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配气价格实行政府定价，按照《天津市定价目录》，由有定价权限的价格主管部门遵循合理补偿成本、合理收益、公开透明的原则，制定区分用户类别的配气价格。</w:t>
      </w:r>
    </w:p>
    <w:p>
      <w:pPr>
        <w:pStyle w:val="9"/>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第六条</w:t>
      </w:r>
      <w:r>
        <w:rPr>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经营者应将燃气配气业务与其他业务分离。目前生产、销售、运输一体化经营的企业暂不能实现业务分离的，应当实现配气业务财务核算独立，为按不同用户类别核定配气价格创造条件。</w:t>
      </w:r>
    </w:p>
    <w:p>
      <w:pPr>
        <w:pStyle w:val="9"/>
        <w:keepNext w:val="0"/>
        <w:keepLines w:val="0"/>
        <w:widowControl/>
        <w:suppressLineNumbers w:val="0"/>
        <w:spacing w:before="315" w:beforeAutospacing="0" w:after="315" w:afterAutospacing="0" w:line="585" w:lineRule="atLeast"/>
        <w:ind w:left="0" w:firstLine="0"/>
        <w:jc w:val="center"/>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第二章</w:t>
      </w:r>
      <w:r>
        <w:rPr>
          <w:rFonts w:hint="eastAsia" w:cs="Times New Roman"/>
          <w:i w:val="0"/>
          <w:iCs w:val="0"/>
          <w:caps w:val="0"/>
          <w:color w:val="000000"/>
          <w:spacing w:val="0"/>
          <w:sz w:val="31"/>
          <w:szCs w:val="31"/>
          <w:lang w:eastAsia="zh-CN"/>
        </w:rPr>
        <w:t xml:space="preserve"> </w:t>
      </w:r>
      <w:r>
        <w:rPr>
          <w:rFonts w:hint="eastAsia" w:ascii="黑体" w:hAnsi="宋体" w:eastAsia="黑体" w:cs="黑体"/>
          <w:i w:val="0"/>
          <w:iCs w:val="0"/>
          <w:caps w:val="0"/>
          <w:color w:val="000000"/>
          <w:spacing w:val="0"/>
          <w:sz w:val="31"/>
          <w:szCs w:val="31"/>
        </w:rPr>
        <w:t>价格制定和调整</w:t>
      </w:r>
    </w:p>
    <w:p>
      <w:pPr>
        <w:pStyle w:val="9"/>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第七条</w:t>
      </w:r>
      <w:r>
        <w:rPr>
          <w:rStyle w:val="13"/>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配气价格按照</w:t>
      </w:r>
      <w:r>
        <w:rPr>
          <w:rFonts w:hint="default" w:ascii="Times New Roman" w:hAnsi="Times New Roman" w:eastAsia="sans-serif" w:cs="Times New Roman"/>
          <w:i w:val="0"/>
          <w:iCs w:val="0"/>
          <w:caps w:val="0"/>
          <w:color w:val="000000"/>
          <w:spacing w:val="0"/>
          <w:sz w:val="31"/>
          <w:szCs w:val="31"/>
        </w:rPr>
        <w:t>“</w:t>
      </w:r>
      <w:r>
        <w:rPr>
          <w:rFonts w:hint="default" w:ascii="仿宋_GB2312" w:hAnsi="Times New Roman" w:eastAsia="仿宋_GB2312" w:cs="仿宋_GB2312"/>
          <w:i w:val="0"/>
          <w:iCs w:val="0"/>
          <w:caps w:val="0"/>
          <w:color w:val="000000"/>
          <w:spacing w:val="0"/>
          <w:sz w:val="31"/>
          <w:szCs w:val="31"/>
        </w:rPr>
        <w:t>准许成本加合理收益</w:t>
      </w:r>
      <w:r>
        <w:rPr>
          <w:rFonts w:hint="default" w:ascii="Times New Roman" w:hAnsi="Times New Roman" w:eastAsia="sans-serif" w:cs="Times New Roman"/>
          <w:i w:val="0"/>
          <w:iCs w:val="0"/>
          <w:caps w:val="0"/>
          <w:color w:val="000000"/>
          <w:spacing w:val="0"/>
          <w:sz w:val="31"/>
          <w:szCs w:val="31"/>
        </w:rPr>
        <w:t>”</w:t>
      </w:r>
      <w:r>
        <w:rPr>
          <w:rFonts w:hint="default" w:ascii="仿宋_GB2312" w:hAnsi="Times New Roman" w:eastAsia="仿宋_GB2312" w:cs="仿宋_GB2312"/>
          <w:i w:val="0"/>
          <w:iCs w:val="0"/>
          <w:caps w:val="0"/>
          <w:color w:val="000000"/>
          <w:spacing w:val="0"/>
          <w:sz w:val="31"/>
          <w:szCs w:val="31"/>
        </w:rPr>
        <w:t>的原则制定，即通过核定经营者的准许成本，监管准许收益，考虑税收等因素确定年度准许总收入，制定配气价格。</w:t>
      </w:r>
    </w:p>
    <w:p>
      <w:pPr>
        <w:pStyle w:val="9"/>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第八条</w:t>
      </w:r>
      <w:r>
        <w:rPr>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年度准许总收入由准许成本、准许收益以及税费之和扣减其他业务收支净额确定。其他业务收支净额为企业使用与配气业务相关的资产和人力从事工程安装施工、燃气销售等其他业务活动的收支净额。</w:t>
      </w:r>
    </w:p>
    <w:p>
      <w:pPr>
        <w:pStyle w:val="9"/>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第九条</w:t>
      </w:r>
      <w:r>
        <w:rPr>
          <w:rStyle w:val="13"/>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准许成本的核定，具体执行《政府制定价格成本监审办法》、《天津市城市燃气管网配气价格定价成本监审办法》的相关规定。</w:t>
      </w:r>
    </w:p>
    <w:p>
      <w:pPr>
        <w:pStyle w:val="9"/>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第十条</w:t>
      </w:r>
      <w:r>
        <w:rPr>
          <w:rStyle w:val="13"/>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准许收益按有效资产乘以准许收益率计算确定。</w:t>
      </w:r>
    </w:p>
    <w:p>
      <w:pPr>
        <w:pStyle w:val="9"/>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1"/>
          <w:szCs w:val="31"/>
        </w:rPr>
        <w:t>（一）有效资产为经营者投入、与配气业务相关的可计提收益的资产，由固定资产净值、无形资产净值和营运资本组成。固定资产、无形资产包括市政管网资产、市政管网到建筑区划红线外的资产，不包括建筑区划内业主共有和专有资产，政府无偿投入、政府补助和社会无偿投入的资产，无偿接收的资产，未投入实际使用的资产，不能提供资产价值有效证明的资产，资产评估增值部分，以及向用户收取费用形成的资产。营运资本按成本监审核定的运行维护费的</w:t>
      </w:r>
      <w:r>
        <w:rPr>
          <w:rFonts w:hint="default" w:ascii="Times New Roman" w:hAnsi="Times New Roman" w:eastAsia="sans-serif" w:cs="Times New Roman"/>
          <w:i w:val="0"/>
          <w:iCs w:val="0"/>
          <w:caps w:val="0"/>
          <w:color w:val="000000"/>
          <w:spacing w:val="0"/>
          <w:sz w:val="31"/>
          <w:szCs w:val="31"/>
        </w:rPr>
        <w:t>20%</w:t>
      </w:r>
      <w:r>
        <w:rPr>
          <w:rFonts w:hint="default" w:ascii="仿宋_GB2312" w:hAnsi="Times New Roman" w:eastAsia="仿宋_GB2312" w:cs="仿宋_GB2312"/>
          <w:i w:val="0"/>
          <w:iCs w:val="0"/>
          <w:caps w:val="0"/>
          <w:color w:val="000000"/>
          <w:spacing w:val="0"/>
          <w:sz w:val="31"/>
          <w:szCs w:val="31"/>
        </w:rPr>
        <w:t>确定。</w:t>
      </w:r>
    </w:p>
    <w:p>
      <w:pPr>
        <w:pStyle w:val="9"/>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1"/>
          <w:szCs w:val="31"/>
        </w:rPr>
        <w:t>（二）准许收益率为税后全投资收益率</w:t>
      </w:r>
      <w:r>
        <w:rPr>
          <w:rFonts w:hint="default" w:ascii="Times New Roman" w:hAnsi="Times New Roman" w:eastAsia="sans-serif" w:cs="Times New Roman"/>
          <w:i w:val="0"/>
          <w:iCs w:val="0"/>
          <w:caps w:val="0"/>
          <w:color w:val="000000"/>
          <w:spacing w:val="0"/>
          <w:sz w:val="31"/>
          <w:szCs w:val="31"/>
        </w:rPr>
        <w:t>7%</w:t>
      </w:r>
      <w:r>
        <w:rPr>
          <w:rFonts w:hint="default" w:ascii="仿宋_GB2312" w:hAnsi="Times New Roman" w:eastAsia="仿宋_GB2312" w:cs="仿宋_GB2312"/>
          <w:i w:val="0"/>
          <w:iCs w:val="0"/>
          <w:caps w:val="0"/>
          <w:color w:val="000000"/>
          <w:spacing w:val="0"/>
          <w:sz w:val="31"/>
          <w:szCs w:val="31"/>
        </w:rPr>
        <w:t>。</w:t>
      </w:r>
    </w:p>
    <w:p>
      <w:pPr>
        <w:pStyle w:val="9"/>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第十一条</w:t>
      </w:r>
      <w:r>
        <w:rPr>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税费按国家规定应纳税确定。</w:t>
      </w:r>
    </w:p>
    <w:p>
      <w:pPr>
        <w:pStyle w:val="9"/>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第十二条</w:t>
      </w:r>
      <w:r>
        <w:rPr>
          <w:rStyle w:val="13"/>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配气价格按照经营者年度准许总收入除以年度配送气量计算确定。年度配送气量根据年度销售气量及管网负荷率确定。</w:t>
      </w:r>
    </w:p>
    <w:p>
      <w:pPr>
        <w:pStyle w:val="9"/>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1"/>
          <w:szCs w:val="31"/>
        </w:rPr>
        <w:t>管网负荷率达到或超过</w:t>
      </w:r>
      <w:r>
        <w:rPr>
          <w:rFonts w:hint="default" w:ascii="Times New Roman" w:hAnsi="Times New Roman" w:eastAsia="sans-serif" w:cs="Times New Roman"/>
          <w:i w:val="0"/>
          <w:iCs w:val="0"/>
          <w:caps w:val="0"/>
          <w:color w:val="000000"/>
          <w:spacing w:val="0"/>
          <w:sz w:val="31"/>
          <w:szCs w:val="31"/>
        </w:rPr>
        <w:t>40%</w:t>
      </w:r>
      <w:r>
        <w:rPr>
          <w:rFonts w:hint="default" w:ascii="仿宋_GB2312" w:hAnsi="Times New Roman" w:eastAsia="仿宋_GB2312" w:cs="仿宋_GB2312"/>
          <w:i w:val="0"/>
          <w:iCs w:val="0"/>
          <w:caps w:val="0"/>
          <w:color w:val="000000"/>
          <w:spacing w:val="0"/>
          <w:sz w:val="31"/>
          <w:szCs w:val="31"/>
        </w:rPr>
        <w:t>的，按核定配送气量计算；管网负荷率低于</w:t>
      </w:r>
      <w:r>
        <w:rPr>
          <w:rFonts w:hint="default" w:ascii="Times New Roman" w:hAnsi="Times New Roman" w:eastAsia="sans-serif" w:cs="Times New Roman"/>
          <w:i w:val="0"/>
          <w:iCs w:val="0"/>
          <w:caps w:val="0"/>
          <w:color w:val="000000"/>
          <w:spacing w:val="0"/>
          <w:sz w:val="31"/>
          <w:szCs w:val="31"/>
        </w:rPr>
        <w:t>40%</w:t>
      </w:r>
      <w:r>
        <w:rPr>
          <w:rFonts w:hint="default" w:ascii="仿宋_GB2312" w:hAnsi="Times New Roman" w:eastAsia="仿宋_GB2312" w:cs="仿宋_GB2312"/>
          <w:i w:val="0"/>
          <w:iCs w:val="0"/>
          <w:caps w:val="0"/>
          <w:color w:val="000000"/>
          <w:spacing w:val="0"/>
          <w:sz w:val="31"/>
          <w:szCs w:val="31"/>
        </w:rPr>
        <w:t>的，按</w:t>
      </w:r>
      <w:r>
        <w:rPr>
          <w:rFonts w:hint="default" w:ascii="Times New Roman" w:hAnsi="Times New Roman" w:eastAsia="sans-serif" w:cs="Times New Roman"/>
          <w:i w:val="0"/>
          <w:iCs w:val="0"/>
          <w:caps w:val="0"/>
          <w:color w:val="000000"/>
          <w:spacing w:val="0"/>
          <w:sz w:val="31"/>
          <w:szCs w:val="31"/>
        </w:rPr>
        <w:t>40%</w:t>
      </w:r>
      <w:r>
        <w:rPr>
          <w:rFonts w:hint="default" w:ascii="仿宋_GB2312" w:hAnsi="Times New Roman" w:eastAsia="仿宋_GB2312" w:cs="仿宋_GB2312"/>
          <w:i w:val="0"/>
          <w:iCs w:val="0"/>
          <w:caps w:val="0"/>
          <w:color w:val="000000"/>
          <w:spacing w:val="0"/>
          <w:sz w:val="31"/>
          <w:szCs w:val="31"/>
        </w:rPr>
        <w:t>计算。</w:t>
      </w:r>
    </w:p>
    <w:p>
      <w:pPr>
        <w:pStyle w:val="9"/>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第十三条</w:t>
      </w:r>
      <w:r>
        <w:rPr>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应区分不同用户类别，以用户负荷性为基础，合理分摊成本，并综合考虑政策性交叉补贴，制定区分用户类别的配气价格。</w:t>
      </w:r>
    </w:p>
    <w:p>
      <w:pPr>
        <w:pStyle w:val="9"/>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第十四条</w:t>
      </w:r>
      <w:r>
        <w:rPr>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同一区域内有多家经营者的，为鼓励建立激励机制，可选取其中配送气量较大或经营情况较好的经营者，确定标杆价格，执行统一配气价格。配气环节有两家以上经营者参与的，配气价格由参与经营者协商分配。</w:t>
      </w:r>
    </w:p>
    <w:p>
      <w:pPr>
        <w:pStyle w:val="9"/>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第十五条</w:t>
      </w:r>
      <w:r>
        <w:rPr>
          <w:rStyle w:val="13"/>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对新城市燃气配气管网，可运用建设项目财务评价的原理，使被监管企业在整个经营期内取得合理回报的方法核定初始配气价格。核定价格时，全投资税后内部收益率不超过</w:t>
      </w:r>
      <w:r>
        <w:rPr>
          <w:rFonts w:hint="default" w:ascii="Times New Roman" w:hAnsi="Times New Roman" w:eastAsia="sans-serif" w:cs="Times New Roman"/>
          <w:i w:val="0"/>
          <w:iCs w:val="0"/>
          <w:caps w:val="0"/>
          <w:color w:val="000000"/>
          <w:spacing w:val="0"/>
          <w:sz w:val="31"/>
          <w:szCs w:val="31"/>
        </w:rPr>
        <w:t>7%</w:t>
      </w:r>
      <w:r>
        <w:rPr>
          <w:rFonts w:hint="default" w:ascii="仿宋_GB2312" w:hAnsi="Times New Roman" w:eastAsia="仿宋_GB2312" w:cs="仿宋_GB2312"/>
          <w:i w:val="0"/>
          <w:iCs w:val="0"/>
          <w:caps w:val="0"/>
          <w:color w:val="000000"/>
          <w:spacing w:val="0"/>
          <w:sz w:val="31"/>
          <w:szCs w:val="31"/>
        </w:rPr>
        <w:t>，经营期不低于</w:t>
      </w:r>
      <w:r>
        <w:rPr>
          <w:rFonts w:hint="default" w:ascii="Times New Roman" w:hAnsi="Times New Roman" w:eastAsia="sans-serif" w:cs="Times New Roman"/>
          <w:i w:val="0"/>
          <w:iCs w:val="0"/>
          <w:caps w:val="0"/>
          <w:color w:val="000000"/>
          <w:spacing w:val="0"/>
          <w:sz w:val="31"/>
          <w:szCs w:val="31"/>
        </w:rPr>
        <w:t>30</w:t>
      </w:r>
      <w:r>
        <w:rPr>
          <w:rFonts w:hint="default" w:ascii="仿宋_GB2312" w:hAnsi="Times New Roman" w:eastAsia="仿宋_GB2312" w:cs="仿宋_GB2312"/>
          <w:i w:val="0"/>
          <w:iCs w:val="0"/>
          <w:caps w:val="0"/>
          <w:color w:val="000000"/>
          <w:spacing w:val="0"/>
          <w:sz w:val="31"/>
          <w:szCs w:val="31"/>
        </w:rPr>
        <w:t>年。定价成本参数原则上按可行性研究报告确定，可行性研究报告成本参数与成本监审规定不符的，按成本监审的规定进行调整。随着经营气量的增加，可适时调整为按</w:t>
      </w:r>
      <w:r>
        <w:rPr>
          <w:rFonts w:hint="default" w:ascii="Times New Roman" w:hAnsi="Times New Roman" w:eastAsia="sans-serif" w:cs="Times New Roman"/>
          <w:i w:val="0"/>
          <w:iCs w:val="0"/>
          <w:caps w:val="0"/>
          <w:color w:val="000000"/>
          <w:spacing w:val="0"/>
          <w:sz w:val="31"/>
          <w:szCs w:val="31"/>
        </w:rPr>
        <w:t>“</w:t>
      </w:r>
      <w:r>
        <w:rPr>
          <w:rFonts w:hint="default" w:ascii="仿宋_GB2312" w:hAnsi="Times New Roman" w:eastAsia="仿宋_GB2312" w:cs="仿宋_GB2312"/>
          <w:i w:val="0"/>
          <w:iCs w:val="0"/>
          <w:caps w:val="0"/>
          <w:color w:val="000000"/>
          <w:spacing w:val="0"/>
          <w:sz w:val="31"/>
          <w:szCs w:val="31"/>
        </w:rPr>
        <w:t>准许成本加合理收益</w:t>
      </w:r>
      <w:r>
        <w:rPr>
          <w:rFonts w:hint="default" w:ascii="Times New Roman" w:hAnsi="Times New Roman" w:eastAsia="sans-serif" w:cs="Times New Roman"/>
          <w:i w:val="0"/>
          <w:iCs w:val="0"/>
          <w:caps w:val="0"/>
          <w:color w:val="000000"/>
          <w:spacing w:val="0"/>
          <w:sz w:val="31"/>
          <w:szCs w:val="31"/>
        </w:rPr>
        <w:t>”</w:t>
      </w:r>
      <w:r>
        <w:rPr>
          <w:rFonts w:hint="default" w:ascii="仿宋_GB2312" w:hAnsi="Times New Roman" w:eastAsia="仿宋_GB2312" w:cs="仿宋_GB2312"/>
          <w:i w:val="0"/>
          <w:iCs w:val="0"/>
          <w:caps w:val="0"/>
          <w:color w:val="000000"/>
          <w:spacing w:val="0"/>
          <w:sz w:val="31"/>
          <w:szCs w:val="31"/>
        </w:rPr>
        <w:t>的原则核定。</w:t>
      </w:r>
    </w:p>
    <w:p>
      <w:pPr>
        <w:pStyle w:val="9"/>
        <w:keepNext w:val="0"/>
        <w:keepLines w:val="0"/>
        <w:widowControl/>
        <w:suppressLineNumbers w:val="0"/>
        <w:spacing w:before="315" w:beforeAutospacing="0" w:after="315" w:afterAutospacing="0" w:line="585" w:lineRule="atLeast"/>
        <w:ind w:left="0" w:firstLine="0"/>
        <w:jc w:val="center"/>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第三章</w:t>
      </w:r>
      <w:r>
        <w:rPr>
          <w:rFonts w:hint="eastAsia" w:cs="Times New Roman"/>
          <w:i w:val="0"/>
          <w:iCs w:val="0"/>
          <w:caps w:val="0"/>
          <w:color w:val="000000"/>
          <w:spacing w:val="0"/>
          <w:sz w:val="31"/>
          <w:szCs w:val="31"/>
          <w:lang w:eastAsia="zh-CN"/>
        </w:rPr>
        <w:t xml:space="preserve"> </w:t>
      </w:r>
      <w:r>
        <w:rPr>
          <w:rFonts w:hint="eastAsia" w:ascii="黑体" w:hAnsi="宋体" w:eastAsia="黑体" w:cs="黑体"/>
          <w:i w:val="0"/>
          <w:iCs w:val="0"/>
          <w:caps w:val="0"/>
          <w:color w:val="000000"/>
          <w:spacing w:val="0"/>
          <w:sz w:val="31"/>
          <w:szCs w:val="31"/>
        </w:rPr>
        <w:t>定调价程序</w:t>
      </w:r>
    </w:p>
    <w:p>
      <w:pPr>
        <w:pStyle w:val="9"/>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第十六条</w:t>
      </w:r>
      <w:r>
        <w:rPr>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配气价格的制定和调整，由有权限的价格主管部门主动实施，也可由经营者向有权限的价格主管部门提出定调价建议。新建城市燃气配气管网投产运行前，经营者应主动向价格主管部门提出定价建议。</w:t>
      </w:r>
    </w:p>
    <w:p>
      <w:pPr>
        <w:pStyle w:val="9"/>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第十七条</w:t>
      </w:r>
      <w:r>
        <w:rPr>
          <w:rStyle w:val="13"/>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配气价格制定和调整前，应当开展定价成本监审。价格制定和调整过程中，如测算的价格水平过高或调整幅度过大，可综合考虑当地经济发展水平和用户承受能力等因素，适当控制水平或降低调整幅度，避免价格过高或大幅波动。对应调未调产生的收入差额，可分摊到未来年度进行补偿或扣减。</w:t>
      </w:r>
    </w:p>
    <w:p>
      <w:pPr>
        <w:pStyle w:val="9"/>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第十八条</w:t>
      </w:r>
      <w:r>
        <w:rPr>
          <w:rStyle w:val="13"/>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配气价格原则上每</w:t>
      </w:r>
      <w:r>
        <w:rPr>
          <w:rFonts w:hint="default" w:ascii="Times New Roman" w:hAnsi="Times New Roman" w:eastAsia="sans-serif" w:cs="Times New Roman"/>
          <w:i w:val="0"/>
          <w:iCs w:val="0"/>
          <w:caps w:val="0"/>
          <w:color w:val="000000"/>
          <w:spacing w:val="0"/>
          <w:sz w:val="31"/>
          <w:szCs w:val="31"/>
        </w:rPr>
        <w:t>3</w:t>
      </w:r>
      <w:r>
        <w:rPr>
          <w:rFonts w:hint="default" w:ascii="仿宋_GB2312" w:hAnsi="Times New Roman" w:eastAsia="仿宋_GB2312" w:cs="仿宋_GB2312"/>
          <w:i w:val="0"/>
          <w:iCs w:val="0"/>
          <w:caps w:val="0"/>
          <w:color w:val="000000"/>
          <w:spacing w:val="0"/>
          <w:sz w:val="31"/>
          <w:szCs w:val="31"/>
        </w:rPr>
        <w:t>年校核调整一次。如管网设施投资、配送气量、成本等发生重大变化，可提前校核调整。</w:t>
      </w:r>
    </w:p>
    <w:p>
      <w:pPr>
        <w:pStyle w:val="9"/>
        <w:keepNext w:val="0"/>
        <w:keepLines w:val="0"/>
        <w:widowControl/>
        <w:suppressLineNumbers w:val="0"/>
        <w:spacing w:before="315" w:beforeAutospacing="0" w:after="315" w:afterAutospacing="0" w:line="585" w:lineRule="atLeast"/>
        <w:ind w:left="0" w:firstLine="0"/>
        <w:jc w:val="center"/>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第四章</w:t>
      </w:r>
      <w:r>
        <w:rPr>
          <w:rFonts w:hint="eastAsia" w:cs="Times New Roman"/>
          <w:i w:val="0"/>
          <w:iCs w:val="0"/>
          <w:caps w:val="0"/>
          <w:color w:val="000000"/>
          <w:spacing w:val="0"/>
          <w:sz w:val="31"/>
          <w:szCs w:val="31"/>
          <w:lang w:eastAsia="zh-CN"/>
        </w:rPr>
        <w:t xml:space="preserve"> </w:t>
      </w:r>
      <w:r>
        <w:rPr>
          <w:rFonts w:hint="eastAsia" w:ascii="黑体" w:hAnsi="宋体" w:eastAsia="黑体" w:cs="黑体"/>
          <w:i w:val="0"/>
          <w:iCs w:val="0"/>
          <w:caps w:val="0"/>
          <w:color w:val="000000"/>
          <w:spacing w:val="0"/>
          <w:sz w:val="31"/>
          <w:szCs w:val="31"/>
        </w:rPr>
        <w:t>信息公开和价格监督</w:t>
      </w:r>
    </w:p>
    <w:p>
      <w:pPr>
        <w:pStyle w:val="9"/>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第十九条</w:t>
      </w:r>
      <w:r>
        <w:rPr>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价格主管部门制定和调整的配气价格，应当通过政府网站向社会公开。价格监督检查部门应当依法加强配气价格及相关收费检查，依法查处各类价格违法行为。</w:t>
      </w:r>
    </w:p>
    <w:p>
      <w:pPr>
        <w:pStyle w:val="9"/>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第二十条</w:t>
      </w:r>
      <w:r>
        <w:rPr>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经营者应当按照价格主管部门规定的时间和要求，如实提供年度生产经营成本情况及有关资料，并定期通过本单位门户网站等公开渠道向社会公布上一年度收入、成本、价格等相关信息。</w:t>
      </w:r>
    </w:p>
    <w:p>
      <w:pPr>
        <w:pStyle w:val="9"/>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第二十一条</w:t>
      </w:r>
      <w:r>
        <w:rPr>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经营者应当依法收费并明码标价。凡没有提供实质性服务的，以及成本已纳入配气价格的不得收费。居民新建住宅，建筑区划红线内的燃气工程安装费等纳入房价，不得再另外向燃气用户收取。</w:t>
      </w:r>
    </w:p>
    <w:p>
      <w:pPr>
        <w:pStyle w:val="9"/>
        <w:keepNext w:val="0"/>
        <w:keepLines w:val="0"/>
        <w:widowControl/>
        <w:suppressLineNumbers w:val="0"/>
        <w:spacing w:before="315" w:beforeAutospacing="0" w:after="315" w:afterAutospacing="0" w:line="585" w:lineRule="atLeast"/>
        <w:ind w:left="0" w:firstLine="0"/>
        <w:jc w:val="center"/>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第五章</w:t>
      </w:r>
      <w:r>
        <w:rPr>
          <w:rFonts w:hint="eastAsia" w:cs="Times New Roman"/>
          <w:i w:val="0"/>
          <w:iCs w:val="0"/>
          <w:caps w:val="0"/>
          <w:color w:val="000000"/>
          <w:spacing w:val="0"/>
          <w:sz w:val="31"/>
          <w:szCs w:val="31"/>
          <w:lang w:eastAsia="zh-CN"/>
        </w:rPr>
        <w:t xml:space="preserve"> </w:t>
      </w:r>
      <w:r>
        <w:rPr>
          <w:rFonts w:hint="eastAsia" w:ascii="黑体" w:hAnsi="宋体" w:eastAsia="黑体" w:cs="黑体"/>
          <w:i w:val="0"/>
          <w:iCs w:val="0"/>
          <w:caps w:val="0"/>
          <w:color w:val="000000"/>
          <w:spacing w:val="0"/>
          <w:sz w:val="31"/>
          <w:szCs w:val="31"/>
        </w:rPr>
        <w:t>附则</w:t>
      </w:r>
    </w:p>
    <w:p>
      <w:pPr>
        <w:pStyle w:val="9"/>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第二十二条</w:t>
      </w:r>
      <w:r>
        <w:rPr>
          <w:rStyle w:val="13"/>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本办法由天津市发展和改革委员会负责解释。</w:t>
      </w:r>
    </w:p>
    <w:p>
      <w:pPr>
        <w:pStyle w:val="9"/>
        <w:keepNext w:val="0"/>
        <w:keepLines w:val="0"/>
        <w:widowControl/>
        <w:suppressLineNumbers w:val="0"/>
        <w:spacing w:line="585" w:lineRule="atLeast"/>
        <w:ind w:left="0" w:right="30" w:firstLine="645"/>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第二十三条</w:t>
      </w:r>
      <w:r>
        <w:rPr>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本办法自</w:t>
      </w:r>
      <w:r>
        <w:rPr>
          <w:rFonts w:hint="default" w:ascii="Times New Roman" w:hAnsi="Times New Roman" w:eastAsia="sans-serif" w:cs="Times New Roman"/>
          <w:i w:val="0"/>
          <w:iCs w:val="0"/>
          <w:caps w:val="0"/>
          <w:color w:val="000000"/>
          <w:spacing w:val="0"/>
          <w:sz w:val="31"/>
          <w:szCs w:val="31"/>
        </w:rPr>
        <w:t>2018</w:t>
      </w:r>
      <w:r>
        <w:rPr>
          <w:rFonts w:hint="default"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7</w:t>
      </w:r>
      <w:r>
        <w:rPr>
          <w:rFonts w:hint="default"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1</w:t>
      </w:r>
      <w:r>
        <w:rPr>
          <w:rFonts w:hint="default" w:ascii="仿宋_GB2312" w:hAnsi="Times New Roman" w:eastAsia="仿宋_GB2312" w:cs="仿宋_GB2312"/>
          <w:i w:val="0"/>
          <w:iCs w:val="0"/>
          <w:caps w:val="0"/>
          <w:color w:val="000000"/>
          <w:spacing w:val="0"/>
          <w:sz w:val="31"/>
          <w:szCs w:val="31"/>
        </w:rPr>
        <w:t>日起施行。</w:t>
      </w:r>
    </w:p>
    <w:p>
      <w:pPr>
        <w:rPr>
          <w:rFonts w:hint="default"/>
          <w:lang w:val="en-US" w:eastAsia="zh-CN"/>
        </w:rPr>
      </w:pPr>
    </w:p>
    <w:sectPr>
      <w:footerReference r:id="rId3" w:type="default"/>
      <w:footerReference r:id="rId4" w:type="even"/>
      <w:pgSz w:w="16838" w:h="11906" w:orient="landscape"/>
      <w:pgMar w:top="1474" w:right="1814" w:bottom="1474" w:left="2041"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Arial Unicode MS"/>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27 -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26 -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ZWE3NmNiMzNiZmI4NmNhZTM3ZTQyNWY0YjIxNWYifQ=="/>
  </w:docVars>
  <w:rsids>
    <w:rsidRoot w:val="00401E58"/>
    <w:rsid w:val="000062DF"/>
    <w:rsid w:val="00017D20"/>
    <w:rsid w:val="000220E1"/>
    <w:rsid w:val="00022F32"/>
    <w:rsid w:val="00024454"/>
    <w:rsid w:val="000244CA"/>
    <w:rsid w:val="00030244"/>
    <w:rsid w:val="00042F92"/>
    <w:rsid w:val="00045CF0"/>
    <w:rsid w:val="00050039"/>
    <w:rsid w:val="0005199D"/>
    <w:rsid w:val="00055B7B"/>
    <w:rsid w:val="000612B7"/>
    <w:rsid w:val="000744F6"/>
    <w:rsid w:val="00084A7D"/>
    <w:rsid w:val="00085092"/>
    <w:rsid w:val="000859C7"/>
    <w:rsid w:val="0009363F"/>
    <w:rsid w:val="000B0ECD"/>
    <w:rsid w:val="000B4E8E"/>
    <w:rsid w:val="000B774F"/>
    <w:rsid w:val="000C539A"/>
    <w:rsid w:val="000C5E5E"/>
    <w:rsid w:val="000D728B"/>
    <w:rsid w:val="000E4E9D"/>
    <w:rsid w:val="000E7972"/>
    <w:rsid w:val="000F64CC"/>
    <w:rsid w:val="001150D5"/>
    <w:rsid w:val="00120A2E"/>
    <w:rsid w:val="00135209"/>
    <w:rsid w:val="0014656E"/>
    <w:rsid w:val="00147889"/>
    <w:rsid w:val="001510A8"/>
    <w:rsid w:val="001510DA"/>
    <w:rsid w:val="00157FAD"/>
    <w:rsid w:val="001619D3"/>
    <w:rsid w:val="00176F5C"/>
    <w:rsid w:val="00181612"/>
    <w:rsid w:val="001955B9"/>
    <w:rsid w:val="001A608E"/>
    <w:rsid w:val="001C5F90"/>
    <w:rsid w:val="001C7A3C"/>
    <w:rsid w:val="001D3C3F"/>
    <w:rsid w:val="001E0EB9"/>
    <w:rsid w:val="001E2D8C"/>
    <w:rsid w:val="001E3D51"/>
    <w:rsid w:val="001F474E"/>
    <w:rsid w:val="001F4F0C"/>
    <w:rsid w:val="001F6C61"/>
    <w:rsid w:val="001F7ED0"/>
    <w:rsid w:val="00216511"/>
    <w:rsid w:val="002321B9"/>
    <w:rsid w:val="00237929"/>
    <w:rsid w:val="00244B2C"/>
    <w:rsid w:val="00247FBD"/>
    <w:rsid w:val="00250BE4"/>
    <w:rsid w:val="00255F6A"/>
    <w:rsid w:val="002638E7"/>
    <w:rsid w:val="00265D8C"/>
    <w:rsid w:val="00283443"/>
    <w:rsid w:val="00283DDA"/>
    <w:rsid w:val="00285303"/>
    <w:rsid w:val="002875E8"/>
    <w:rsid w:val="00290E71"/>
    <w:rsid w:val="002B7E90"/>
    <w:rsid w:val="002C3769"/>
    <w:rsid w:val="002C7809"/>
    <w:rsid w:val="002D37E8"/>
    <w:rsid w:val="002E2479"/>
    <w:rsid w:val="002E7011"/>
    <w:rsid w:val="002F16DC"/>
    <w:rsid w:val="00311DDF"/>
    <w:rsid w:val="00312B4F"/>
    <w:rsid w:val="003225F7"/>
    <w:rsid w:val="003239BA"/>
    <w:rsid w:val="00330A5A"/>
    <w:rsid w:val="00332BC1"/>
    <w:rsid w:val="00333CEE"/>
    <w:rsid w:val="00334B65"/>
    <w:rsid w:val="003414CB"/>
    <w:rsid w:val="00344501"/>
    <w:rsid w:val="00347312"/>
    <w:rsid w:val="00350B9E"/>
    <w:rsid w:val="00363B71"/>
    <w:rsid w:val="00382530"/>
    <w:rsid w:val="00383B64"/>
    <w:rsid w:val="00392E2D"/>
    <w:rsid w:val="0039496C"/>
    <w:rsid w:val="003A03C5"/>
    <w:rsid w:val="003A06A0"/>
    <w:rsid w:val="003A3EAA"/>
    <w:rsid w:val="003B09D6"/>
    <w:rsid w:val="003B7E04"/>
    <w:rsid w:val="003C0038"/>
    <w:rsid w:val="003C270C"/>
    <w:rsid w:val="003C5274"/>
    <w:rsid w:val="003C68C4"/>
    <w:rsid w:val="003C787A"/>
    <w:rsid w:val="003D678A"/>
    <w:rsid w:val="003D7B8E"/>
    <w:rsid w:val="003E0797"/>
    <w:rsid w:val="003E0BC4"/>
    <w:rsid w:val="00401E58"/>
    <w:rsid w:val="0041484E"/>
    <w:rsid w:val="00416ACA"/>
    <w:rsid w:val="00420C07"/>
    <w:rsid w:val="004213B8"/>
    <w:rsid w:val="00432C44"/>
    <w:rsid w:val="0043545E"/>
    <w:rsid w:val="00435ECC"/>
    <w:rsid w:val="00440217"/>
    <w:rsid w:val="00440B53"/>
    <w:rsid w:val="0044457A"/>
    <w:rsid w:val="00447A90"/>
    <w:rsid w:val="004502D0"/>
    <w:rsid w:val="00456932"/>
    <w:rsid w:val="004570DE"/>
    <w:rsid w:val="00462AD0"/>
    <w:rsid w:val="00463D83"/>
    <w:rsid w:val="004653E5"/>
    <w:rsid w:val="00474019"/>
    <w:rsid w:val="004777A5"/>
    <w:rsid w:val="00483A99"/>
    <w:rsid w:val="00484A89"/>
    <w:rsid w:val="00484B46"/>
    <w:rsid w:val="00492640"/>
    <w:rsid w:val="00492648"/>
    <w:rsid w:val="004935F6"/>
    <w:rsid w:val="004949BB"/>
    <w:rsid w:val="004A4DE6"/>
    <w:rsid w:val="004B1A5F"/>
    <w:rsid w:val="004B7F34"/>
    <w:rsid w:val="004C0F96"/>
    <w:rsid w:val="004C4F54"/>
    <w:rsid w:val="004D227C"/>
    <w:rsid w:val="004D2C4C"/>
    <w:rsid w:val="004D6EF7"/>
    <w:rsid w:val="004E13E0"/>
    <w:rsid w:val="004F04BA"/>
    <w:rsid w:val="004F1BB1"/>
    <w:rsid w:val="004F398F"/>
    <w:rsid w:val="0050505B"/>
    <w:rsid w:val="00507E8F"/>
    <w:rsid w:val="005120F4"/>
    <w:rsid w:val="005172F1"/>
    <w:rsid w:val="005205B2"/>
    <w:rsid w:val="00527D31"/>
    <w:rsid w:val="0053539B"/>
    <w:rsid w:val="00542046"/>
    <w:rsid w:val="0054660A"/>
    <w:rsid w:val="0055194D"/>
    <w:rsid w:val="00551AB6"/>
    <w:rsid w:val="00552AD7"/>
    <w:rsid w:val="005602D7"/>
    <w:rsid w:val="0057221F"/>
    <w:rsid w:val="00573865"/>
    <w:rsid w:val="00577A60"/>
    <w:rsid w:val="00581661"/>
    <w:rsid w:val="00582B9B"/>
    <w:rsid w:val="005931C1"/>
    <w:rsid w:val="005965C1"/>
    <w:rsid w:val="00597CC3"/>
    <w:rsid w:val="00597EF7"/>
    <w:rsid w:val="005A5227"/>
    <w:rsid w:val="005A5273"/>
    <w:rsid w:val="005B18AD"/>
    <w:rsid w:val="005B32C9"/>
    <w:rsid w:val="005B4824"/>
    <w:rsid w:val="005C3BE7"/>
    <w:rsid w:val="005D38A2"/>
    <w:rsid w:val="005E4957"/>
    <w:rsid w:val="005E505C"/>
    <w:rsid w:val="005F1CA5"/>
    <w:rsid w:val="005F70B7"/>
    <w:rsid w:val="00611293"/>
    <w:rsid w:val="00613875"/>
    <w:rsid w:val="0062053E"/>
    <w:rsid w:val="00623AC0"/>
    <w:rsid w:val="00634C1E"/>
    <w:rsid w:val="00635C95"/>
    <w:rsid w:val="00642E57"/>
    <w:rsid w:val="00662B8B"/>
    <w:rsid w:val="00685494"/>
    <w:rsid w:val="00685527"/>
    <w:rsid w:val="00694356"/>
    <w:rsid w:val="00696FD6"/>
    <w:rsid w:val="006A0633"/>
    <w:rsid w:val="006A4CC9"/>
    <w:rsid w:val="006B5E5D"/>
    <w:rsid w:val="006C0632"/>
    <w:rsid w:val="006C54E9"/>
    <w:rsid w:val="006D04D8"/>
    <w:rsid w:val="006D1F4B"/>
    <w:rsid w:val="006E4F49"/>
    <w:rsid w:val="006F3776"/>
    <w:rsid w:val="00700A7A"/>
    <w:rsid w:val="00701319"/>
    <w:rsid w:val="0070228D"/>
    <w:rsid w:val="00703EF9"/>
    <w:rsid w:val="00713A3C"/>
    <w:rsid w:val="00716249"/>
    <w:rsid w:val="00722136"/>
    <w:rsid w:val="007222B4"/>
    <w:rsid w:val="007359FC"/>
    <w:rsid w:val="00735EA0"/>
    <w:rsid w:val="0076615F"/>
    <w:rsid w:val="007741D5"/>
    <w:rsid w:val="00776D36"/>
    <w:rsid w:val="00777D18"/>
    <w:rsid w:val="00777EDB"/>
    <w:rsid w:val="00780365"/>
    <w:rsid w:val="00782A9C"/>
    <w:rsid w:val="00785715"/>
    <w:rsid w:val="007858AD"/>
    <w:rsid w:val="007908B7"/>
    <w:rsid w:val="00790F60"/>
    <w:rsid w:val="00792AD8"/>
    <w:rsid w:val="00794FBC"/>
    <w:rsid w:val="007A2D3E"/>
    <w:rsid w:val="007A3C86"/>
    <w:rsid w:val="007B1DCD"/>
    <w:rsid w:val="007B39B8"/>
    <w:rsid w:val="007C05AF"/>
    <w:rsid w:val="007C60C3"/>
    <w:rsid w:val="007D0A24"/>
    <w:rsid w:val="007D1E2B"/>
    <w:rsid w:val="007E604D"/>
    <w:rsid w:val="007F1140"/>
    <w:rsid w:val="007F1341"/>
    <w:rsid w:val="007F2062"/>
    <w:rsid w:val="008055A6"/>
    <w:rsid w:val="008066D2"/>
    <w:rsid w:val="008078A6"/>
    <w:rsid w:val="0081158F"/>
    <w:rsid w:val="00813B03"/>
    <w:rsid w:val="00817A89"/>
    <w:rsid w:val="00820A0F"/>
    <w:rsid w:val="008313CA"/>
    <w:rsid w:val="008420EB"/>
    <w:rsid w:val="00873780"/>
    <w:rsid w:val="008826FA"/>
    <w:rsid w:val="00887838"/>
    <w:rsid w:val="00891CE6"/>
    <w:rsid w:val="008A1019"/>
    <w:rsid w:val="008A2496"/>
    <w:rsid w:val="008C6FA3"/>
    <w:rsid w:val="008D10C4"/>
    <w:rsid w:val="008D3877"/>
    <w:rsid w:val="008D486A"/>
    <w:rsid w:val="008D534F"/>
    <w:rsid w:val="008D6832"/>
    <w:rsid w:val="008E4F59"/>
    <w:rsid w:val="008E69D8"/>
    <w:rsid w:val="008E6B4C"/>
    <w:rsid w:val="008E6B51"/>
    <w:rsid w:val="008F3BEC"/>
    <w:rsid w:val="008F57F2"/>
    <w:rsid w:val="008F669B"/>
    <w:rsid w:val="00900C7A"/>
    <w:rsid w:val="009032BC"/>
    <w:rsid w:val="0090389B"/>
    <w:rsid w:val="009066AD"/>
    <w:rsid w:val="00910776"/>
    <w:rsid w:val="00912853"/>
    <w:rsid w:val="00914009"/>
    <w:rsid w:val="00920782"/>
    <w:rsid w:val="00935B29"/>
    <w:rsid w:val="00953B08"/>
    <w:rsid w:val="00963B81"/>
    <w:rsid w:val="00967EB6"/>
    <w:rsid w:val="009808E8"/>
    <w:rsid w:val="00982729"/>
    <w:rsid w:val="00983A8F"/>
    <w:rsid w:val="00995914"/>
    <w:rsid w:val="009A0101"/>
    <w:rsid w:val="009A0C34"/>
    <w:rsid w:val="009A4525"/>
    <w:rsid w:val="009A4A43"/>
    <w:rsid w:val="009E6366"/>
    <w:rsid w:val="00A02040"/>
    <w:rsid w:val="00A14CFC"/>
    <w:rsid w:val="00A24079"/>
    <w:rsid w:val="00A326A2"/>
    <w:rsid w:val="00A341AA"/>
    <w:rsid w:val="00A34978"/>
    <w:rsid w:val="00A417A1"/>
    <w:rsid w:val="00A436A4"/>
    <w:rsid w:val="00A44780"/>
    <w:rsid w:val="00A608BF"/>
    <w:rsid w:val="00A668C1"/>
    <w:rsid w:val="00A76D2E"/>
    <w:rsid w:val="00A76FEC"/>
    <w:rsid w:val="00A921FC"/>
    <w:rsid w:val="00AA1969"/>
    <w:rsid w:val="00AA2587"/>
    <w:rsid w:val="00AA4853"/>
    <w:rsid w:val="00AB67FC"/>
    <w:rsid w:val="00AC1A73"/>
    <w:rsid w:val="00AC43BB"/>
    <w:rsid w:val="00AC6FB9"/>
    <w:rsid w:val="00AD0408"/>
    <w:rsid w:val="00AD2294"/>
    <w:rsid w:val="00AE1293"/>
    <w:rsid w:val="00AE1CBE"/>
    <w:rsid w:val="00AF1FF3"/>
    <w:rsid w:val="00AF797C"/>
    <w:rsid w:val="00B11A58"/>
    <w:rsid w:val="00B15629"/>
    <w:rsid w:val="00B15920"/>
    <w:rsid w:val="00B172E3"/>
    <w:rsid w:val="00B20C7D"/>
    <w:rsid w:val="00B210A5"/>
    <w:rsid w:val="00B21B7F"/>
    <w:rsid w:val="00B27D9F"/>
    <w:rsid w:val="00B32033"/>
    <w:rsid w:val="00B51B41"/>
    <w:rsid w:val="00B529D7"/>
    <w:rsid w:val="00B628DD"/>
    <w:rsid w:val="00B65632"/>
    <w:rsid w:val="00B8458F"/>
    <w:rsid w:val="00B860E7"/>
    <w:rsid w:val="00B91CBD"/>
    <w:rsid w:val="00B91D0C"/>
    <w:rsid w:val="00B91D48"/>
    <w:rsid w:val="00B93706"/>
    <w:rsid w:val="00B95FAC"/>
    <w:rsid w:val="00B967D4"/>
    <w:rsid w:val="00BA303D"/>
    <w:rsid w:val="00BA33F4"/>
    <w:rsid w:val="00BA5545"/>
    <w:rsid w:val="00BB3401"/>
    <w:rsid w:val="00BC23DB"/>
    <w:rsid w:val="00BC39F6"/>
    <w:rsid w:val="00BC42FF"/>
    <w:rsid w:val="00BC54EC"/>
    <w:rsid w:val="00BE396F"/>
    <w:rsid w:val="00BE3F1F"/>
    <w:rsid w:val="00BE7477"/>
    <w:rsid w:val="00BF268C"/>
    <w:rsid w:val="00BF2BC2"/>
    <w:rsid w:val="00BF33C3"/>
    <w:rsid w:val="00C07111"/>
    <w:rsid w:val="00C108E9"/>
    <w:rsid w:val="00C1208B"/>
    <w:rsid w:val="00C14FCC"/>
    <w:rsid w:val="00C20697"/>
    <w:rsid w:val="00C2303C"/>
    <w:rsid w:val="00C24FC7"/>
    <w:rsid w:val="00C25C9A"/>
    <w:rsid w:val="00C320D2"/>
    <w:rsid w:val="00C33F61"/>
    <w:rsid w:val="00C3710C"/>
    <w:rsid w:val="00C606F8"/>
    <w:rsid w:val="00C61BD8"/>
    <w:rsid w:val="00C627A1"/>
    <w:rsid w:val="00C64291"/>
    <w:rsid w:val="00C64E2E"/>
    <w:rsid w:val="00C67E6E"/>
    <w:rsid w:val="00C7498F"/>
    <w:rsid w:val="00CA0568"/>
    <w:rsid w:val="00CB257C"/>
    <w:rsid w:val="00CB35FD"/>
    <w:rsid w:val="00CB4559"/>
    <w:rsid w:val="00CC0449"/>
    <w:rsid w:val="00CC0E5E"/>
    <w:rsid w:val="00CC1308"/>
    <w:rsid w:val="00CD05CC"/>
    <w:rsid w:val="00CD11C5"/>
    <w:rsid w:val="00CE1AC4"/>
    <w:rsid w:val="00CE503D"/>
    <w:rsid w:val="00CE77B3"/>
    <w:rsid w:val="00CF16FA"/>
    <w:rsid w:val="00CF27EF"/>
    <w:rsid w:val="00CF51C1"/>
    <w:rsid w:val="00D00580"/>
    <w:rsid w:val="00D215F3"/>
    <w:rsid w:val="00D245E6"/>
    <w:rsid w:val="00D27DBD"/>
    <w:rsid w:val="00D302F5"/>
    <w:rsid w:val="00D360CC"/>
    <w:rsid w:val="00D36B52"/>
    <w:rsid w:val="00D44301"/>
    <w:rsid w:val="00D45FE1"/>
    <w:rsid w:val="00D4649A"/>
    <w:rsid w:val="00D525B8"/>
    <w:rsid w:val="00D62A25"/>
    <w:rsid w:val="00D63E87"/>
    <w:rsid w:val="00D74F70"/>
    <w:rsid w:val="00D90471"/>
    <w:rsid w:val="00D9236E"/>
    <w:rsid w:val="00DA191F"/>
    <w:rsid w:val="00DB135F"/>
    <w:rsid w:val="00DB2D70"/>
    <w:rsid w:val="00DC2D58"/>
    <w:rsid w:val="00DC3A1E"/>
    <w:rsid w:val="00DD0737"/>
    <w:rsid w:val="00DD78CF"/>
    <w:rsid w:val="00DD7BAD"/>
    <w:rsid w:val="00DE2E70"/>
    <w:rsid w:val="00DE68A3"/>
    <w:rsid w:val="00DE7068"/>
    <w:rsid w:val="00DF50CB"/>
    <w:rsid w:val="00E00B04"/>
    <w:rsid w:val="00E06B36"/>
    <w:rsid w:val="00E20A9E"/>
    <w:rsid w:val="00E31315"/>
    <w:rsid w:val="00E4713E"/>
    <w:rsid w:val="00E5315A"/>
    <w:rsid w:val="00E54D4E"/>
    <w:rsid w:val="00E550D9"/>
    <w:rsid w:val="00E62044"/>
    <w:rsid w:val="00E622C3"/>
    <w:rsid w:val="00E63119"/>
    <w:rsid w:val="00E67725"/>
    <w:rsid w:val="00E77E7D"/>
    <w:rsid w:val="00E858A6"/>
    <w:rsid w:val="00E90223"/>
    <w:rsid w:val="00E90546"/>
    <w:rsid w:val="00E90B8A"/>
    <w:rsid w:val="00EA06E8"/>
    <w:rsid w:val="00EA2690"/>
    <w:rsid w:val="00EA6FC6"/>
    <w:rsid w:val="00EB0299"/>
    <w:rsid w:val="00EB4A20"/>
    <w:rsid w:val="00EB641A"/>
    <w:rsid w:val="00EB748D"/>
    <w:rsid w:val="00EB76E0"/>
    <w:rsid w:val="00EC616C"/>
    <w:rsid w:val="00ED1574"/>
    <w:rsid w:val="00ED4D1B"/>
    <w:rsid w:val="00ED7B01"/>
    <w:rsid w:val="00EE6A3A"/>
    <w:rsid w:val="00EF4E3D"/>
    <w:rsid w:val="00EF7C99"/>
    <w:rsid w:val="00F003D4"/>
    <w:rsid w:val="00F11D10"/>
    <w:rsid w:val="00F1511B"/>
    <w:rsid w:val="00F1783D"/>
    <w:rsid w:val="00F2349A"/>
    <w:rsid w:val="00F256A5"/>
    <w:rsid w:val="00F27862"/>
    <w:rsid w:val="00F324C4"/>
    <w:rsid w:val="00F36F0B"/>
    <w:rsid w:val="00F4139E"/>
    <w:rsid w:val="00F505F1"/>
    <w:rsid w:val="00F55245"/>
    <w:rsid w:val="00F645BF"/>
    <w:rsid w:val="00F64C3F"/>
    <w:rsid w:val="00F66238"/>
    <w:rsid w:val="00F738B2"/>
    <w:rsid w:val="00F92527"/>
    <w:rsid w:val="00F92ED3"/>
    <w:rsid w:val="00FE4335"/>
    <w:rsid w:val="00FF3833"/>
    <w:rsid w:val="00FF3A7D"/>
    <w:rsid w:val="17CFB3E3"/>
    <w:rsid w:val="19BB5290"/>
    <w:rsid w:val="1BFF4C4E"/>
    <w:rsid w:val="2767C145"/>
    <w:rsid w:val="2DFB6507"/>
    <w:rsid w:val="32FF5AB1"/>
    <w:rsid w:val="33FFEC72"/>
    <w:rsid w:val="36F53F80"/>
    <w:rsid w:val="3ED7A614"/>
    <w:rsid w:val="3EDF8865"/>
    <w:rsid w:val="3F5E2000"/>
    <w:rsid w:val="3FF7878E"/>
    <w:rsid w:val="3FFEB930"/>
    <w:rsid w:val="431E509C"/>
    <w:rsid w:val="4A8EABE7"/>
    <w:rsid w:val="4CE6E613"/>
    <w:rsid w:val="4DE5C45C"/>
    <w:rsid w:val="51CE9E87"/>
    <w:rsid w:val="57FF4F61"/>
    <w:rsid w:val="5DBF5CC1"/>
    <w:rsid w:val="5DE62E34"/>
    <w:rsid w:val="5E3F59BB"/>
    <w:rsid w:val="5E9F3FA0"/>
    <w:rsid w:val="5FD78A27"/>
    <w:rsid w:val="5FDBF567"/>
    <w:rsid w:val="6BB51E04"/>
    <w:rsid w:val="6BF7C066"/>
    <w:rsid w:val="6BF9BA37"/>
    <w:rsid w:val="6DBF11B9"/>
    <w:rsid w:val="6E5518BE"/>
    <w:rsid w:val="6EFF2B19"/>
    <w:rsid w:val="6F368362"/>
    <w:rsid w:val="6F3BE309"/>
    <w:rsid w:val="6FFE5D90"/>
    <w:rsid w:val="7072F039"/>
    <w:rsid w:val="727E1182"/>
    <w:rsid w:val="73DD5DDD"/>
    <w:rsid w:val="77A7C810"/>
    <w:rsid w:val="77B3E6A0"/>
    <w:rsid w:val="7A15C22A"/>
    <w:rsid w:val="7B561F0D"/>
    <w:rsid w:val="7BEF5808"/>
    <w:rsid w:val="7BFE318D"/>
    <w:rsid w:val="7BFE3A9A"/>
    <w:rsid w:val="7CBF94BF"/>
    <w:rsid w:val="7D6FAEBE"/>
    <w:rsid w:val="7DA73561"/>
    <w:rsid w:val="7DE7D4B3"/>
    <w:rsid w:val="7EAFCE05"/>
    <w:rsid w:val="7F59145E"/>
    <w:rsid w:val="7F5F76CE"/>
    <w:rsid w:val="7F6F78F4"/>
    <w:rsid w:val="7F7A3258"/>
    <w:rsid w:val="7F7FDAC2"/>
    <w:rsid w:val="7F9E1DB5"/>
    <w:rsid w:val="7FBD147D"/>
    <w:rsid w:val="7FBDAB47"/>
    <w:rsid w:val="7FBE7510"/>
    <w:rsid w:val="7FCFB4F3"/>
    <w:rsid w:val="7FD6E890"/>
    <w:rsid w:val="7FDAF804"/>
    <w:rsid w:val="7FDF0B06"/>
    <w:rsid w:val="7FF983DD"/>
    <w:rsid w:val="7FFC34AD"/>
    <w:rsid w:val="7FFDDF93"/>
    <w:rsid w:val="7FFF1DFF"/>
    <w:rsid w:val="8AFDF51E"/>
    <w:rsid w:val="8DFEBED1"/>
    <w:rsid w:val="A3FDEC92"/>
    <w:rsid w:val="A77F3C36"/>
    <w:rsid w:val="ACFF37D4"/>
    <w:rsid w:val="AE9EC085"/>
    <w:rsid w:val="AF7EAFA4"/>
    <w:rsid w:val="B7F6A835"/>
    <w:rsid w:val="BEFBF3A4"/>
    <w:rsid w:val="BEFF5F48"/>
    <w:rsid w:val="BF530A4E"/>
    <w:rsid w:val="BFBFA94A"/>
    <w:rsid w:val="BFEE0D2B"/>
    <w:rsid w:val="BFFC7278"/>
    <w:rsid w:val="BFFDB115"/>
    <w:rsid w:val="D6F6AB19"/>
    <w:rsid w:val="D7FB6B12"/>
    <w:rsid w:val="DB52FB33"/>
    <w:rsid w:val="DB7B870B"/>
    <w:rsid w:val="DDDF1080"/>
    <w:rsid w:val="E3EDB13B"/>
    <w:rsid w:val="E4FF3D18"/>
    <w:rsid w:val="E62B3E6D"/>
    <w:rsid w:val="EB58978E"/>
    <w:rsid w:val="EBE63550"/>
    <w:rsid w:val="EBFBEE3D"/>
    <w:rsid w:val="EFBFAE0E"/>
    <w:rsid w:val="F1BF4D24"/>
    <w:rsid w:val="F2F90A17"/>
    <w:rsid w:val="F6B70D8F"/>
    <w:rsid w:val="F73B625F"/>
    <w:rsid w:val="F7DB8034"/>
    <w:rsid w:val="F935CEBF"/>
    <w:rsid w:val="F9BF9F3B"/>
    <w:rsid w:val="FA7B6B79"/>
    <w:rsid w:val="FB1FC36B"/>
    <w:rsid w:val="FB7653ED"/>
    <w:rsid w:val="FBE569E5"/>
    <w:rsid w:val="FBFF13A1"/>
    <w:rsid w:val="FBFFA24B"/>
    <w:rsid w:val="FCF27BC8"/>
    <w:rsid w:val="FD5BCF4D"/>
    <w:rsid w:val="FDE77C73"/>
    <w:rsid w:val="FE37AE0D"/>
    <w:rsid w:val="FE69B367"/>
    <w:rsid w:val="FEBA10F3"/>
    <w:rsid w:val="FEEFED9A"/>
    <w:rsid w:val="FEFD6B93"/>
    <w:rsid w:val="FF7F7673"/>
    <w:rsid w:val="FFD7E002"/>
    <w:rsid w:val="FFFFB06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eastAsia="宋体" w:cs="Times New Roman"/>
      <w:szCs w:val="22"/>
    </w:rPr>
  </w:style>
  <w:style w:type="paragraph" w:styleId="5">
    <w:name w:val="annotation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qFormat/>
    <w:uiPriority w:val="0"/>
  </w:style>
  <w:style w:type="character" w:customStyle="1" w:styleId="15">
    <w:name w:val="页脚 字符"/>
    <w:link w:val="7"/>
    <w:qFormat/>
    <w:uiPriority w:val="99"/>
    <w:rPr>
      <w:kern w:val="2"/>
      <w:sz w:val="18"/>
      <w:szCs w:val="18"/>
    </w:rPr>
  </w:style>
  <w:style w:type="paragraph" w:customStyle="1" w:styleId="16">
    <w:name w:val="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7">
    <w:name w:val="zw1"/>
    <w:basedOn w:val="1"/>
    <w:qFormat/>
    <w:uiPriority w:val="0"/>
    <w:pPr>
      <w:spacing w:line="580" w:lineRule="exact"/>
      <w:ind w:firstLine="200" w:firstLineChars="200"/>
    </w:pPr>
    <w:rPr>
      <w:rFonts w:eastAsia="仿宋_GB2312"/>
      <w:sz w:val="32"/>
      <w:szCs w:val="24"/>
    </w:rPr>
  </w:style>
  <w:style w:type="paragraph" w:customStyle="1" w:styleId="18">
    <w:name w:val="bt1"/>
    <w:basedOn w:val="3"/>
    <w:qFormat/>
    <w:uiPriority w:val="0"/>
    <w:pPr>
      <w:spacing w:before="0" w:after="0" w:line="580" w:lineRule="exact"/>
      <w:jc w:val="center"/>
    </w:pPr>
    <w:rPr>
      <w:b w:val="0"/>
    </w:rPr>
  </w:style>
  <w:style w:type="paragraph" w:customStyle="1" w:styleId="19">
    <w:name w:val="bt2"/>
    <w:basedOn w:val="4"/>
    <w:qFormat/>
    <w:uiPriority w:val="0"/>
    <w:pPr>
      <w:spacing w:before="0" w:after="0" w:line="580" w:lineRule="exact"/>
      <w:ind w:firstLine="200" w:firstLineChars="200"/>
    </w:pPr>
    <w:rPr>
      <w:b w:val="0"/>
    </w:rPr>
  </w:style>
  <w:style w:type="paragraph" w:customStyle="1" w:styleId="20">
    <w:name w:val=" Char Char Char Char1 Char"/>
    <w:basedOn w:val="1"/>
    <w:qFormat/>
    <w:uiPriority w:val="0"/>
    <w:pPr>
      <w:spacing w:line="360" w:lineRule="auto"/>
      <w:ind w:firstLine="200" w:firstLineChars="200"/>
    </w:pPr>
    <w:rPr>
      <w:rFonts w:ascii="宋体" w:hAnsi="宋体" w:cs="宋体"/>
      <w:sz w:val="24"/>
      <w:szCs w:val="24"/>
    </w:rPr>
  </w:style>
  <w:style w:type="paragraph" w:customStyle="1" w:styleId="21">
    <w:name w:val="Char Char Char Char Char Char Char"/>
    <w:basedOn w:val="1"/>
    <w:qFormat/>
    <w:uiPriority w:val="0"/>
    <w:pPr>
      <w:spacing w:line="360" w:lineRule="auto"/>
      <w:ind w:firstLine="200" w:firstLineChars="200"/>
    </w:pPr>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10</Pages>
  <Words>2906</Words>
  <Characters>2917</Characters>
  <Lines>167</Lines>
  <Paragraphs>47</Paragraphs>
  <TotalTime>84</TotalTime>
  <ScaleCrop>false</ScaleCrop>
  <LinksUpToDate>false</LinksUpToDate>
  <CharactersWithSpaces>3004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2022-01-04T18:28:00Z</dcterms:created>
  <dc:creator>Lenovo User</dc:creator>
  <cp:lastModifiedBy>WPS_1628732352</cp:lastModifiedBy>
  <cp:lastPrinted>2023-01-19T22:11:00Z</cp:lastPrinted>
  <dcterms:modified xsi:type="dcterms:W3CDTF">2023-05-19T07:28:58Z</dcterms:modified>
  <dc:title>天津市发展和改革委员会文件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86229337FF5242FAAA69A77403598144_13</vt:lpwstr>
  </property>
</Properties>
</file>