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2DC71">
      <w:pPr>
        <w:pStyle w:val="2"/>
        <w:keepNext w:val="0"/>
        <w:keepLines w:val="0"/>
        <w:widowControl/>
        <w:suppressLineNumbers w:val="0"/>
        <w:spacing w:line="585" w:lineRule="atLeast"/>
        <w:ind w:left="0" w:firstLine="0"/>
        <w:jc w:val="center"/>
        <w:rPr>
          <w:rFonts w:ascii="sans-serif" w:hAnsi="sans-serif" w:eastAsia="sans-serif" w:cs="sans-serif"/>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rPr>
        <w:t>天津市企业节能信用评价管理办法</w:t>
      </w:r>
    </w:p>
    <w:bookmarkEnd w:id="0"/>
    <w:p w14:paraId="59EB3915">
      <w:pPr>
        <w:pStyle w:val="2"/>
        <w:keepNext w:val="0"/>
        <w:keepLines w:val="0"/>
        <w:widowControl/>
        <w:suppressLineNumbers w:val="0"/>
        <w:spacing w:line="585" w:lineRule="atLeast"/>
        <w:ind w:left="0" w:firstLine="0"/>
        <w:jc w:val="center"/>
        <w:rPr>
          <w:rFonts w:hint="eastAsia" w:ascii="sans-serif" w:hAnsi="sans-serif" w:eastAsia="宋体" w:cs="sans-serif"/>
          <w:i w:val="0"/>
          <w:iCs w:val="0"/>
          <w:caps w:val="0"/>
          <w:color w:val="000000"/>
          <w:spacing w:val="0"/>
          <w:sz w:val="27"/>
          <w:szCs w:val="27"/>
          <w:lang w:eastAsia="zh-CN"/>
        </w:rPr>
      </w:pPr>
      <w:r>
        <w:rPr>
          <w:rStyle w:val="5"/>
          <w:rFonts w:hint="eastAsia" w:ascii="宋体" w:hAnsi="宋体" w:eastAsia="宋体" w:cs="宋体"/>
          <w:i w:val="0"/>
          <w:iCs w:val="0"/>
          <w:caps w:val="0"/>
          <w:color w:val="000000"/>
          <w:spacing w:val="0"/>
          <w:sz w:val="36"/>
          <w:szCs w:val="36"/>
          <w:lang w:eastAsia="zh-CN"/>
        </w:rPr>
        <w:t xml:space="preserve"> </w:t>
      </w:r>
    </w:p>
    <w:p w14:paraId="56452346">
      <w:pPr>
        <w:pStyle w:val="2"/>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第一</w:t>
      </w:r>
      <w:r>
        <w:rPr>
          <w:rFonts w:hint="eastAsia" w:ascii="黑体" w:hAnsi="宋体" w:eastAsia="黑体" w:cs="黑体"/>
          <w:i w:val="0"/>
          <w:iCs w:val="0"/>
          <w:caps w:val="0"/>
          <w:color w:val="000000"/>
          <w:spacing w:val="0"/>
          <w:sz w:val="31"/>
          <w:szCs w:val="31"/>
        </w:rPr>
        <w:t>章</w:t>
      </w:r>
      <w:r>
        <w:rPr>
          <w:rFonts w:hint="eastAsia" w:ascii="黑体" w:hAnsi="宋体" w:eastAsia="黑体" w:cs="黑体"/>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总则</w:t>
      </w:r>
    </w:p>
    <w:p w14:paraId="49B6B5EB">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i w:val="0"/>
          <w:iCs w:val="0"/>
          <w:caps w:val="0"/>
          <w:color w:val="000000"/>
          <w:spacing w:val="0"/>
          <w:sz w:val="31"/>
          <w:szCs w:val="31"/>
        </w:rPr>
        <w:t>第一条</w:t>
      </w:r>
      <w:r>
        <w:rPr>
          <w:rFonts w:hint="eastAsia" w:ascii="黑体" w:hAnsi="宋体" w:eastAsia="黑体" w:cs="黑体"/>
          <w:i w:val="0"/>
          <w:iCs w:val="0"/>
          <w:caps w:val="0"/>
          <w:color w:val="000000"/>
          <w:spacing w:val="0"/>
          <w:sz w:val="31"/>
          <w:szCs w:val="31"/>
          <w:lang w:eastAsia="zh-CN"/>
        </w:rPr>
        <w:t xml:space="preserve">  </w:t>
      </w:r>
      <w:r>
        <w:rPr>
          <w:rFonts w:ascii="仿宋_GB2312" w:hAnsi="sans-serif" w:eastAsia="仿宋_GB2312" w:cs="仿宋_GB2312"/>
          <w:i w:val="0"/>
          <w:iCs w:val="0"/>
          <w:caps w:val="0"/>
          <w:color w:val="000000"/>
          <w:spacing w:val="0"/>
          <w:sz w:val="31"/>
          <w:szCs w:val="31"/>
        </w:rPr>
        <w:t>为加快推进</w:t>
      </w:r>
      <w:r>
        <w:rPr>
          <w:rFonts w:hint="eastAsia" w:ascii="仿宋_GB2312" w:hAnsi="sans-serif" w:eastAsia="仿宋_GB2312" w:cs="仿宋_GB2312"/>
          <w:i w:val="0"/>
          <w:iCs w:val="0"/>
          <w:caps w:val="0"/>
          <w:color w:val="000000"/>
          <w:spacing w:val="0"/>
          <w:sz w:val="31"/>
          <w:szCs w:val="31"/>
        </w:rPr>
        <w:t>天津市节能信用体系建设，在节能领域构建以信用为基础的新型监管机制，根据《国务院办公厅关于加快推进社会信用体系建设构建以信用为基础的新型监管机制的指导意见》《天津市社会信用条例》及节能法律法规规章和有关规定，结合节能工作实际，制定本办法。</w:t>
      </w:r>
    </w:p>
    <w:p w14:paraId="366E77CC">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第二条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本办法适用于天津市行政区域内企业节能信用评价的信息归集、等级评定、结果应用等。</w:t>
      </w:r>
    </w:p>
    <w:p w14:paraId="09E02B94">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第三条</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本办法所称节能信用评价，是指市发展改革部门根据企业节能行为信息，按照规定的指标、方法和程序，对企业节能行为进行信用评价，确定信用等级，并向社会公开，供公众监督和有关部门、机构及组织应用的节能管理手段。</w:t>
      </w:r>
    </w:p>
    <w:p w14:paraId="1D5266C2">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本办法所称企业节能行为，是指企业在生产经营活动中遵守节能法律、法规、规章、规范性文件、标准和履行节能社会责任等方面的表现。</w:t>
      </w:r>
    </w:p>
    <w:p w14:paraId="5B4D9585">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第四条</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下列单位应当纳入企业节能信用评价范围：</w:t>
      </w:r>
    </w:p>
    <w:p w14:paraId="2C0A89D4">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年综合能源消费总量五千吨标准煤（含）以上的重点用能单位；</w:t>
      </w:r>
    </w:p>
    <w:p w14:paraId="6E659073">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从事节能咨询、设计、评估、检测、审计、认证等活动的节能服务机构；</w:t>
      </w:r>
    </w:p>
    <w:p w14:paraId="413894FD">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需进行节能审查的固定资产投资项目建设单位。</w:t>
      </w:r>
    </w:p>
    <w:p w14:paraId="380A16BC">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第五条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市发展改革部门负责制定发布企业节能信用评价管理办法及评价指标，依托市信用信息共享平台，对企业节能信用信息实行统一归集、动态管理，组织开展企业节能信用评价并公布评价结果，形成数据同步、措施统一、标准一致的信用监管机制。</w:t>
      </w:r>
    </w:p>
    <w:p w14:paraId="650264FB">
      <w:pPr>
        <w:pStyle w:val="2"/>
        <w:keepNext w:val="0"/>
        <w:keepLines w:val="0"/>
        <w:widowControl/>
        <w:suppressLineNumbers w:val="0"/>
        <w:spacing w:line="585" w:lineRule="atLeast"/>
        <w:ind w:left="0" w:firstLine="0"/>
        <w:jc w:val="center"/>
        <w:rPr>
          <w:rFonts w:hint="eastAsia" w:ascii="sans-serif" w:hAnsi="sans-serif" w:eastAsia="宋体" w:cs="sans-serif"/>
          <w:i w:val="0"/>
          <w:iCs w:val="0"/>
          <w:caps w:val="0"/>
          <w:color w:val="000000"/>
          <w:spacing w:val="0"/>
          <w:sz w:val="27"/>
          <w:szCs w:val="27"/>
          <w:lang w:eastAsia="zh-CN"/>
        </w:rPr>
      </w:pPr>
      <w:r>
        <w:rPr>
          <w:rStyle w:val="5"/>
          <w:rFonts w:hint="eastAsia" w:ascii="黑体" w:hAnsi="宋体" w:eastAsia="黑体" w:cs="黑体"/>
          <w:i w:val="0"/>
          <w:iCs w:val="0"/>
          <w:caps w:val="0"/>
          <w:color w:val="000000"/>
          <w:spacing w:val="0"/>
          <w:sz w:val="31"/>
          <w:szCs w:val="31"/>
          <w:lang w:eastAsia="zh-CN"/>
        </w:rPr>
        <w:t xml:space="preserve"> </w:t>
      </w:r>
    </w:p>
    <w:p w14:paraId="7A6E0397">
      <w:pPr>
        <w:pStyle w:val="2"/>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第二章</w:t>
      </w:r>
      <w:r>
        <w:rPr>
          <w:rFonts w:hint="eastAsia" w:ascii="黑体" w:hAnsi="宋体" w:eastAsia="黑体" w:cs="黑体"/>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节能信用评价</w:t>
      </w:r>
    </w:p>
    <w:p w14:paraId="7BD343A1">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第六条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企业节能信用评价基础分为</w:t>
      </w:r>
      <w:r>
        <w:rPr>
          <w:rFonts w:hint="default" w:ascii="楷体_GB2312" w:hAnsi="sans-serif" w:eastAsia="楷体_GB2312" w:cs="楷体_GB2312"/>
          <w:i w:val="0"/>
          <w:iCs w:val="0"/>
          <w:caps w:val="0"/>
          <w:color w:val="000000"/>
          <w:spacing w:val="0"/>
          <w:sz w:val="31"/>
          <w:szCs w:val="31"/>
        </w:rPr>
        <w:t>1000</w:t>
      </w:r>
      <w:r>
        <w:rPr>
          <w:rFonts w:hint="eastAsia" w:ascii="仿宋_GB2312" w:hAnsi="sans-serif" w:eastAsia="仿宋_GB2312" w:cs="仿宋_GB2312"/>
          <w:i w:val="0"/>
          <w:iCs w:val="0"/>
          <w:caps w:val="0"/>
          <w:color w:val="000000"/>
          <w:spacing w:val="0"/>
          <w:sz w:val="31"/>
          <w:szCs w:val="31"/>
        </w:rPr>
        <w:t>分，采用定性和定量相结合的评价方式，评价指标包括一级指标、二级指标、评价内容、分值。评价指标由市发展改革部门另行制定。</w:t>
      </w:r>
    </w:p>
    <w:p w14:paraId="5FB5B682">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第七条</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企业节能信用分为五个等级，</w:t>
      </w:r>
      <w:r>
        <w:rPr>
          <w:rFonts w:hint="default" w:ascii="楷体_GB2312" w:hAnsi="sans-serif" w:eastAsia="楷体_GB2312" w:cs="楷体_GB2312"/>
          <w:i w:val="0"/>
          <w:iCs w:val="0"/>
          <w:caps w:val="0"/>
          <w:color w:val="000000"/>
          <w:spacing w:val="0"/>
          <w:sz w:val="31"/>
          <w:szCs w:val="31"/>
        </w:rPr>
        <w:t>980</w:t>
      </w:r>
      <w:r>
        <w:rPr>
          <w:rFonts w:hint="eastAsia" w:ascii="仿宋_GB2312" w:hAnsi="sans-serif" w:eastAsia="仿宋_GB2312" w:cs="仿宋_GB2312"/>
          <w:i w:val="0"/>
          <w:iCs w:val="0"/>
          <w:caps w:val="0"/>
          <w:color w:val="000000"/>
          <w:spacing w:val="0"/>
          <w:sz w:val="31"/>
          <w:szCs w:val="31"/>
        </w:rPr>
        <w:t>分（含）及以上为</w:t>
      </w:r>
      <w:r>
        <w:rPr>
          <w:rFonts w:hint="default" w:ascii="楷体_GB2312" w:hAnsi="sans-serif" w:eastAsia="楷体_GB2312" w:cs="楷体_GB2312"/>
          <w:i w:val="0"/>
          <w:iCs w:val="0"/>
          <w:caps w:val="0"/>
          <w:color w:val="000000"/>
          <w:spacing w:val="0"/>
          <w:sz w:val="31"/>
          <w:szCs w:val="31"/>
        </w:rPr>
        <w:t>A</w:t>
      </w:r>
      <w:r>
        <w:rPr>
          <w:rFonts w:hint="eastAsia" w:ascii="仿宋_GB2312" w:hAnsi="sans-serif" w:eastAsia="仿宋_GB2312" w:cs="仿宋_GB2312"/>
          <w:i w:val="0"/>
          <w:iCs w:val="0"/>
          <w:caps w:val="0"/>
          <w:color w:val="000000"/>
          <w:spacing w:val="0"/>
          <w:sz w:val="31"/>
          <w:szCs w:val="31"/>
        </w:rPr>
        <w:t>级（优秀）、</w:t>
      </w:r>
      <w:r>
        <w:rPr>
          <w:rFonts w:hint="default" w:ascii="楷体_GB2312" w:hAnsi="sans-serif" w:eastAsia="楷体_GB2312" w:cs="楷体_GB2312"/>
          <w:i w:val="0"/>
          <w:iCs w:val="0"/>
          <w:caps w:val="0"/>
          <w:color w:val="000000"/>
          <w:spacing w:val="0"/>
          <w:sz w:val="31"/>
          <w:szCs w:val="31"/>
        </w:rPr>
        <w:t>920</w:t>
      </w:r>
      <w:r>
        <w:rPr>
          <w:rFonts w:hint="eastAsia" w:ascii="仿宋_GB2312" w:hAnsi="sans-serif" w:eastAsia="仿宋_GB2312" w:cs="仿宋_GB2312"/>
          <w:i w:val="0"/>
          <w:iCs w:val="0"/>
          <w:caps w:val="0"/>
          <w:color w:val="000000"/>
          <w:spacing w:val="0"/>
          <w:sz w:val="31"/>
          <w:szCs w:val="31"/>
        </w:rPr>
        <w:t>分（含）至</w:t>
      </w:r>
      <w:r>
        <w:rPr>
          <w:rFonts w:hint="default" w:ascii="楷体_GB2312" w:hAnsi="sans-serif" w:eastAsia="楷体_GB2312" w:cs="楷体_GB2312"/>
          <w:i w:val="0"/>
          <w:iCs w:val="0"/>
          <w:caps w:val="0"/>
          <w:color w:val="000000"/>
          <w:spacing w:val="0"/>
          <w:sz w:val="31"/>
          <w:szCs w:val="31"/>
        </w:rPr>
        <w:t>980</w:t>
      </w:r>
      <w:r>
        <w:rPr>
          <w:rFonts w:hint="eastAsia" w:ascii="仿宋_GB2312" w:hAnsi="sans-serif" w:eastAsia="仿宋_GB2312" w:cs="仿宋_GB2312"/>
          <w:i w:val="0"/>
          <w:iCs w:val="0"/>
          <w:caps w:val="0"/>
          <w:color w:val="000000"/>
          <w:spacing w:val="0"/>
          <w:sz w:val="31"/>
          <w:szCs w:val="31"/>
        </w:rPr>
        <w:t>分为</w:t>
      </w:r>
      <w:r>
        <w:rPr>
          <w:rFonts w:hint="default" w:ascii="楷体_GB2312" w:hAnsi="sans-serif" w:eastAsia="楷体_GB2312" w:cs="楷体_GB2312"/>
          <w:i w:val="0"/>
          <w:iCs w:val="0"/>
          <w:caps w:val="0"/>
          <w:color w:val="000000"/>
          <w:spacing w:val="0"/>
          <w:sz w:val="31"/>
          <w:szCs w:val="31"/>
        </w:rPr>
        <w:t>B</w:t>
      </w:r>
      <w:r>
        <w:rPr>
          <w:rFonts w:hint="eastAsia" w:ascii="仿宋_GB2312" w:hAnsi="sans-serif" w:eastAsia="仿宋_GB2312" w:cs="仿宋_GB2312"/>
          <w:i w:val="0"/>
          <w:iCs w:val="0"/>
          <w:caps w:val="0"/>
          <w:color w:val="000000"/>
          <w:spacing w:val="0"/>
          <w:sz w:val="31"/>
          <w:szCs w:val="31"/>
        </w:rPr>
        <w:t>级（良好）、</w:t>
      </w:r>
      <w:r>
        <w:rPr>
          <w:rFonts w:hint="default" w:ascii="楷体_GB2312" w:hAnsi="sans-serif" w:eastAsia="楷体_GB2312" w:cs="楷体_GB2312"/>
          <w:i w:val="0"/>
          <w:iCs w:val="0"/>
          <w:caps w:val="0"/>
          <w:color w:val="000000"/>
          <w:spacing w:val="0"/>
          <w:sz w:val="31"/>
          <w:szCs w:val="31"/>
        </w:rPr>
        <w:t>800</w:t>
      </w:r>
      <w:r>
        <w:rPr>
          <w:rFonts w:hint="eastAsia" w:ascii="仿宋_GB2312" w:hAnsi="sans-serif" w:eastAsia="仿宋_GB2312" w:cs="仿宋_GB2312"/>
          <w:i w:val="0"/>
          <w:iCs w:val="0"/>
          <w:caps w:val="0"/>
          <w:color w:val="000000"/>
          <w:spacing w:val="0"/>
          <w:sz w:val="31"/>
          <w:szCs w:val="31"/>
        </w:rPr>
        <w:t>分（含）至</w:t>
      </w:r>
      <w:r>
        <w:rPr>
          <w:rFonts w:hint="default" w:ascii="楷体_GB2312" w:hAnsi="sans-serif" w:eastAsia="楷体_GB2312" w:cs="楷体_GB2312"/>
          <w:i w:val="0"/>
          <w:iCs w:val="0"/>
          <w:caps w:val="0"/>
          <w:color w:val="000000"/>
          <w:spacing w:val="0"/>
          <w:sz w:val="31"/>
          <w:szCs w:val="31"/>
        </w:rPr>
        <w:t>920</w:t>
      </w:r>
      <w:r>
        <w:rPr>
          <w:rFonts w:hint="eastAsia" w:ascii="仿宋_GB2312" w:hAnsi="sans-serif" w:eastAsia="仿宋_GB2312" w:cs="仿宋_GB2312"/>
          <w:i w:val="0"/>
          <w:iCs w:val="0"/>
          <w:caps w:val="0"/>
          <w:color w:val="000000"/>
          <w:spacing w:val="0"/>
          <w:sz w:val="31"/>
          <w:szCs w:val="31"/>
        </w:rPr>
        <w:t>分为</w:t>
      </w:r>
      <w:r>
        <w:rPr>
          <w:rFonts w:hint="default" w:ascii="楷体_GB2312" w:hAnsi="sans-serif" w:eastAsia="楷体_GB2312" w:cs="楷体_GB2312"/>
          <w:i w:val="0"/>
          <w:iCs w:val="0"/>
          <w:caps w:val="0"/>
          <w:color w:val="000000"/>
          <w:spacing w:val="0"/>
          <w:sz w:val="31"/>
          <w:szCs w:val="31"/>
        </w:rPr>
        <w:t>C</w:t>
      </w:r>
      <w:r>
        <w:rPr>
          <w:rFonts w:hint="eastAsia" w:ascii="仿宋_GB2312" w:hAnsi="sans-serif" w:eastAsia="仿宋_GB2312" w:cs="仿宋_GB2312"/>
          <w:i w:val="0"/>
          <w:iCs w:val="0"/>
          <w:caps w:val="0"/>
          <w:color w:val="000000"/>
          <w:spacing w:val="0"/>
          <w:sz w:val="31"/>
          <w:szCs w:val="31"/>
        </w:rPr>
        <w:t>级（中等）、</w:t>
      </w:r>
      <w:r>
        <w:rPr>
          <w:rFonts w:hint="default" w:ascii="楷体_GB2312" w:hAnsi="sans-serif" w:eastAsia="楷体_GB2312" w:cs="楷体_GB2312"/>
          <w:i w:val="0"/>
          <w:iCs w:val="0"/>
          <w:caps w:val="0"/>
          <w:color w:val="000000"/>
          <w:spacing w:val="0"/>
          <w:sz w:val="31"/>
          <w:szCs w:val="31"/>
        </w:rPr>
        <w:t>600</w:t>
      </w:r>
      <w:r>
        <w:rPr>
          <w:rFonts w:hint="eastAsia" w:ascii="仿宋_GB2312" w:hAnsi="sans-serif" w:eastAsia="仿宋_GB2312" w:cs="仿宋_GB2312"/>
          <w:i w:val="0"/>
          <w:iCs w:val="0"/>
          <w:caps w:val="0"/>
          <w:color w:val="000000"/>
          <w:spacing w:val="0"/>
          <w:sz w:val="31"/>
          <w:szCs w:val="31"/>
        </w:rPr>
        <w:t>分至</w:t>
      </w:r>
      <w:r>
        <w:rPr>
          <w:rFonts w:hint="default" w:ascii="楷体_GB2312" w:hAnsi="sans-serif" w:eastAsia="楷体_GB2312" w:cs="楷体_GB2312"/>
          <w:i w:val="0"/>
          <w:iCs w:val="0"/>
          <w:caps w:val="0"/>
          <w:color w:val="000000"/>
          <w:spacing w:val="0"/>
          <w:sz w:val="31"/>
          <w:szCs w:val="31"/>
        </w:rPr>
        <w:t>800</w:t>
      </w:r>
      <w:r>
        <w:rPr>
          <w:rFonts w:hint="eastAsia" w:ascii="仿宋_GB2312" w:hAnsi="sans-serif" w:eastAsia="仿宋_GB2312" w:cs="仿宋_GB2312"/>
          <w:i w:val="0"/>
          <w:iCs w:val="0"/>
          <w:caps w:val="0"/>
          <w:color w:val="000000"/>
          <w:spacing w:val="0"/>
          <w:sz w:val="31"/>
          <w:szCs w:val="31"/>
        </w:rPr>
        <w:t>分为</w:t>
      </w:r>
      <w:r>
        <w:rPr>
          <w:rFonts w:hint="default" w:ascii="楷体_GB2312" w:hAnsi="sans-serif" w:eastAsia="楷体_GB2312" w:cs="楷体_GB2312"/>
          <w:i w:val="0"/>
          <w:iCs w:val="0"/>
          <w:caps w:val="0"/>
          <w:color w:val="000000"/>
          <w:spacing w:val="0"/>
          <w:sz w:val="31"/>
          <w:szCs w:val="31"/>
        </w:rPr>
        <w:t>D</w:t>
      </w:r>
      <w:r>
        <w:rPr>
          <w:rFonts w:hint="eastAsia" w:ascii="仿宋_GB2312" w:hAnsi="sans-serif" w:eastAsia="仿宋_GB2312" w:cs="仿宋_GB2312"/>
          <w:i w:val="0"/>
          <w:iCs w:val="0"/>
          <w:caps w:val="0"/>
          <w:color w:val="000000"/>
          <w:spacing w:val="0"/>
          <w:sz w:val="31"/>
          <w:szCs w:val="31"/>
        </w:rPr>
        <w:t>级（较差）、</w:t>
      </w:r>
      <w:r>
        <w:rPr>
          <w:rFonts w:hint="default" w:ascii="楷体_GB2312" w:hAnsi="sans-serif" w:eastAsia="楷体_GB2312" w:cs="楷体_GB2312"/>
          <w:i w:val="0"/>
          <w:iCs w:val="0"/>
          <w:caps w:val="0"/>
          <w:color w:val="000000"/>
          <w:spacing w:val="0"/>
          <w:sz w:val="31"/>
          <w:szCs w:val="31"/>
        </w:rPr>
        <w:t>600</w:t>
      </w:r>
      <w:r>
        <w:rPr>
          <w:rFonts w:hint="eastAsia" w:ascii="仿宋_GB2312" w:hAnsi="sans-serif" w:eastAsia="仿宋_GB2312" w:cs="仿宋_GB2312"/>
          <w:i w:val="0"/>
          <w:iCs w:val="0"/>
          <w:caps w:val="0"/>
          <w:color w:val="000000"/>
          <w:spacing w:val="0"/>
          <w:sz w:val="31"/>
          <w:szCs w:val="31"/>
        </w:rPr>
        <w:t>分（含）及以下为</w:t>
      </w:r>
      <w:r>
        <w:rPr>
          <w:rFonts w:hint="default" w:ascii="楷体_GB2312" w:hAnsi="sans-serif" w:eastAsia="楷体_GB2312" w:cs="楷体_GB2312"/>
          <w:i w:val="0"/>
          <w:iCs w:val="0"/>
          <w:caps w:val="0"/>
          <w:color w:val="000000"/>
          <w:spacing w:val="0"/>
          <w:sz w:val="31"/>
          <w:szCs w:val="31"/>
        </w:rPr>
        <w:t>E</w:t>
      </w:r>
      <w:r>
        <w:rPr>
          <w:rFonts w:hint="eastAsia" w:ascii="仿宋_GB2312" w:hAnsi="sans-serif" w:eastAsia="仿宋_GB2312" w:cs="仿宋_GB2312"/>
          <w:i w:val="0"/>
          <w:iCs w:val="0"/>
          <w:caps w:val="0"/>
          <w:color w:val="000000"/>
          <w:spacing w:val="0"/>
          <w:sz w:val="31"/>
          <w:szCs w:val="31"/>
        </w:rPr>
        <w:t>级（差）。</w:t>
      </w:r>
    </w:p>
    <w:p w14:paraId="0F5421DF">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第八条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企业节能信用等级向社会公示。企业如有异议，应在公示期内向市发展改革部门提出异议申请，并提供相关证明材料。市发展改革部门在收到异议申请之日起</w:t>
      </w:r>
      <w:r>
        <w:rPr>
          <w:rFonts w:hint="default" w:ascii="楷体_GB2312" w:hAnsi="sans-serif" w:eastAsia="楷体_GB2312" w:cs="楷体_GB2312"/>
          <w:i w:val="0"/>
          <w:iCs w:val="0"/>
          <w:caps w:val="0"/>
          <w:color w:val="000000"/>
          <w:spacing w:val="0"/>
          <w:sz w:val="31"/>
          <w:szCs w:val="31"/>
        </w:rPr>
        <w:t>3</w:t>
      </w:r>
      <w:r>
        <w:rPr>
          <w:rFonts w:hint="eastAsia" w:ascii="仿宋_GB2312" w:hAnsi="sans-serif" w:eastAsia="仿宋_GB2312" w:cs="仿宋_GB2312"/>
          <w:i w:val="0"/>
          <w:iCs w:val="0"/>
          <w:caps w:val="0"/>
          <w:color w:val="000000"/>
          <w:spacing w:val="0"/>
          <w:sz w:val="31"/>
          <w:szCs w:val="31"/>
        </w:rPr>
        <w:t>个工作日内完成复核，告知企业复核结果，并将核实后的信息记录同步至市信用信息共享平台。</w:t>
      </w:r>
    </w:p>
    <w:p w14:paraId="103A0D7F">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第九条</w:t>
      </w:r>
      <w:r>
        <w:rPr>
          <w:rFonts w:hint="eastAsia" w:ascii="仿宋_GB2312" w:hAnsi="sans-serif" w:eastAsia="仿宋_GB2312" w:cs="仿宋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市发展改革部门将企业节能信用等级推送至市信用信息共享平台，同步在“信用中国（天津）”网站公布，并纳入企业公共信用信息报告，以便市场主体、公众和相关部门查询，实现节能信用信息跨部门、跨领域、跨区域的共享共用。根据企业节能行为信息变化情况，节能信用等级按月度更新。</w:t>
      </w:r>
    </w:p>
    <w:p w14:paraId="56F592E1">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第十条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市发展改革部门可以通过政府采购方式委托第三方信用服务机构参与节能信用评价，在信用记录归集、信用信息共享、信用大数据分析等方面开展合作。</w:t>
      </w:r>
    </w:p>
    <w:p w14:paraId="65699294">
      <w:pPr>
        <w:pStyle w:val="2"/>
        <w:keepNext w:val="0"/>
        <w:keepLines w:val="0"/>
        <w:widowControl/>
        <w:suppressLineNumbers w:val="0"/>
        <w:spacing w:line="585" w:lineRule="atLeast"/>
        <w:ind w:left="0" w:firstLine="645"/>
        <w:rPr>
          <w:rFonts w:hint="eastAsia" w:ascii="sans-serif" w:hAnsi="sans-serif" w:eastAsia="宋体" w:cs="sans-serif"/>
          <w:i w:val="0"/>
          <w:iCs w:val="0"/>
          <w:caps w:val="0"/>
          <w:color w:val="000000"/>
          <w:spacing w:val="0"/>
          <w:sz w:val="27"/>
          <w:szCs w:val="27"/>
          <w:lang w:eastAsia="zh-CN"/>
        </w:rPr>
      </w:pPr>
      <w:r>
        <w:rPr>
          <w:rFonts w:hint="eastAsia" w:ascii="黑体" w:hAnsi="宋体" w:eastAsia="黑体" w:cs="黑体"/>
          <w:i w:val="0"/>
          <w:iCs w:val="0"/>
          <w:caps w:val="0"/>
          <w:color w:val="000000"/>
          <w:spacing w:val="0"/>
          <w:sz w:val="31"/>
          <w:szCs w:val="31"/>
          <w:lang w:eastAsia="zh-CN"/>
        </w:rPr>
        <w:t xml:space="preserve"> </w:t>
      </w:r>
    </w:p>
    <w:p w14:paraId="5C118003">
      <w:pPr>
        <w:pStyle w:val="2"/>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第三章</w:t>
      </w:r>
      <w:r>
        <w:rPr>
          <w:rFonts w:hint="eastAsia" w:ascii="黑体" w:hAnsi="宋体" w:eastAsia="黑体" w:cs="黑体"/>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评价结果应用</w:t>
      </w:r>
    </w:p>
    <w:p w14:paraId="6D7320B8">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第十一条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对没有失信信息记录的</w:t>
      </w:r>
      <w:r>
        <w:rPr>
          <w:rFonts w:hint="default" w:ascii="楷体_GB2312" w:hAnsi="sans-serif" w:eastAsia="楷体_GB2312" w:cs="楷体_GB2312"/>
          <w:i w:val="0"/>
          <w:iCs w:val="0"/>
          <w:caps w:val="0"/>
          <w:color w:val="000000"/>
          <w:spacing w:val="0"/>
          <w:sz w:val="31"/>
          <w:szCs w:val="31"/>
        </w:rPr>
        <w:t>A</w:t>
      </w:r>
      <w:r>
        <w:rPr>
          <w:rFonts w:hint="eastAsia" w:ascii="仿宋_GB2312" w:hAnsi="sans-serif" w:eastAsia="仿宋_GB2312" w:cs="仿宋_GB2312"/>
          <w:i w:val="0"/>
          <w:iCs w:val="0"/>
          <w:caps w:val="0"/>
          <w:color w:val="000000"/>
          <w:spacing w:val="0"/>
          <w:sz w:val="31"/>
          <w:szCs w:val="31"/>
        </w:rPr>
        <w:t>级企业，可以给予以下激励措施：</w:t>
      </w:r>
    </w:p>
    <w:p w14:paraId="7ECAD975">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（一）在办理固定资产投资项目节能审查时，根据实际情况实施“绿色通道”和“容缺受理”等便利服务措施；</w:t>
      </w:r>
    </w:p>
    <w:p w14:paraId="205C480F">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（二）节能专项资金在同等条件下优先给予支持；</w:t>
      </w:r>
    </w:p>
    <w:p w14:paraId="6A863675">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（三）在“双随机、一公开”节能监察中，减少检查频次，优先实施书面监察；</w:t>
      </w:r>
    </w:p>
    <w:p w14:paraId="01A3E6AE">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（四）在有关节能评优活动中，优先授予其荣誉称号；</w:t>
      </w:r>
    </w:p>
    <w:p w14:paraId="14E35E6E">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（五）鼓励金融机构提供优惠和便利的金融服务；</w:t>
      </w:r>
    </w:p>
    <w:p w14:paraId="0045AFF5">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（六）国家和本市规定的其他激励措施。</w:t>
      </w:r>
    </w:p>
    <w:p w14:paraId="7FE73A6A">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第十二条</w:t>
      </w:r>
      <w:r>
        <w:rPr>
          <w:rFonts w:hint="eastAsia" w:ascii="楷体_GB2312" w:hAnsi="sans-serif" w:eastAsia="楷体_GB2312" w:cs="楷体_GB2312"/>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对没有失信信息记录的</w:t>
      </w:r>
      <w:r>
        <w:rPr>
          <w:rFonts w:hint="default" w:ascii="楷体_GB2312" w:hAnsi="sans-serif" w:eastAsia="楷体_GB2312" w:cs="楷体_GB2312"/>
          <w:i w:val="0"/>
          <w:iCs w:val="0"/>
          <w:caps w:val="0"/>
          <w:color w:val="000000"/>
          <w:spacing w:val="0"/>
          <w:sz w:val="31"/>
          <w:szCs w:val="31"/>
        </w:rPr>
        <w:t>B</w:t>
      </w:r>
      <w:r>
        <w:rPr>
          <w:rFonts w:hint="eastAsia" w:ascii="仿宋_GB2312" w:hAnsi="sans-serif" w:eastAsia="仿宋_GB2312" w:cs="仿宋_GB2312"/>
          <w:i w:val="0"/>
          <w:iCs w:val="0"/>
          <w:caps w:val="0"/>
          <w:color w:val="000000"/>
          <w:spacing w:val="0"/>
          <w:sz w:val="31"/>
          <w:szCs w:val="31"/>
        </w:rPr>
        <w:t>级企业，可以给予以下激励措施：</w:t>
      </w:r>
    </w:p>
    <w:p w14:paraId="39FEA847">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（一）在办理固定资产投资项目节能审查时，根据实际情况实施“绿色通道”和“容缺受理”等便利服务措施；</w:t>
      </w:r>
    </w:p>
    <w:p w14:paraId="55F1AFE3">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（二）节能专项资金在同等条件下酌情给予支持；</w:t>
      </w:r>
    </w:p>
    <w:p w14:paraId="68671AF0">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（三）在“双随机、一公开”节能监察中，减少检查频次。</w:t>
      </w:r>
    </w:p>
    <w:p w14:paraId="14759E99">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第十三条</w:t>
      </w:r>
      <w:r>
        <w:rPr>
          <w:rFonts w:hint="eastAsia" w:ascii="黑体" w:hAnsi="宋体" w:eastAsia="黑体" w:cs="黑体"/>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对</w:t>
      </w:r>
      <w:r>
        <w:rPr>
          <w:rFonts w:hint="default" w:ascii="楷体_GB2312" w:hAnsi="sans-serif" w:eastAsia="楷体_GB2312" w:cs="楷体_GB2312"/>
          <w:i w:val="0"/>
          <w:iCs w:val="0"/>
          <w:caps w:val="0"/>
          <w:color w:val="000000"/>
          <w:spacing w:val="0"/>
          <w:sz w:val="31"/>
          <w:szCs w:val="31"/>
        </w:rPr>
        <w:t>D</w:t>
      </w:r>
      <w:r>
        <w:rPr>
          <w:rFonts w:hint="eastAsia" w:ascii="仿宋_GB2312" w:hAnsi="sans-serif" w:eastAsia="仿宋_GB2312" w:cs="仿宋_GB2312"/>
          <w:i w:val="0"/>
          <w:iCs w:val="0"/>
          <w:caps w:val="0"/>
          <w:color w:val="000000"/>
          <w:spacing w:val="0"/>
          <w:sz w:val="31"/>
          <w:szCs w:val="31"/>
        </w:rPr>
        <w:t>级企业，可以依法采取以下措施：</w:t>
      </w:r>
    </w:p>
    <w:p w14:paraId="517C8CCF">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（一）在办理固定资产投资项目节能审查时，限制采用“绿色通道”；</w:t>
      </w:r>
    </w:p>
    <w:p w14:paraId="2A094EA9">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（二）在“双随机、一公开”节能监察中，增加检查频次。</w:t>
      </w:r>
    </w:p>
    <w:p w14:paraId="734DC34E">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default" w:ascii="楷体_GB2312" w:hAnsi="sans-serif" w:eastAsia="楷体_GB2312" w:cs="楷体_GB2312"/>
          <w:i w:val="0"/>
          <w:iCs w:val="0"/>
          <w:caps w:val="0"/>
          <w:color w:val="000000"/>
          <w:spacing w:val="0"/>
          <w:sz w:val="31"/>
          <w:szCs w:val="31"/>
        </w:rPr>
        <w:t>第十四条</w:t>
      </w:r>
      <w:r>
        <w:rPr>
          <w:rFonts w:hint="eastAsia" w:ascii="黑体" w:hAnsi="宋体" w:eastAsia="黑体" w:cs="黑体"/>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对</w:t>
      </w:r>
      <w:r>
        <w:rPr>
          <w:rFonts w:hint="default" w:ascii="楷体_GB2312" w:hAnsi="sans-serif" w:eastAsia="楷体_GB2312" w:cs="楷体_GB2312"/>
          <w:i w:val="0"/>
          <w:iCs w:val="0"/>
          <w:caps w:val="0"/>
          <w:color w:val="000000"/>
          <w:spacing w:val="0"/>
          <w:sz w:val="31"/>
          <w:szCs w:val="31"/>
        </w:rPr>
        <w:t>E</w:t>
      </w:r>
      <w:r>
        <w:rPr>
          <w:rFonts w:hint="eastAsia" w:ascii="仿宋_GB2312" w:hAnsi="sans-serif" w:eastAsia="仿宋_GB2312" w:cs="仿宋_GB2312"/>
          <w:i w:val="0"/>
          <w:iCs w:val="0"/>
          <w:caps w:val="0"/>
          <w:color w:val="000000"/>
          <w:spacing w:val="0"/>
          <w:sz w:val="31"/>
          <w:szCs w:val="31"/>
        </w:rPr>
        <w:t>级企业，可以依法采取以下措施：</w:t>
      </w:r>
    </w:p>
    <w:p w14:paraId="4921EFA4">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（一）在办理固定资产投资项目节能审查时，限制采用“绿色通道”、“容缺受理”等便利化措施；</w:t>
      </w:r>
    </w:p>
    <w:p w14:paraId="4FF517B2">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（二）在“双随机、一公开”节能监察中，大幅增加检查频次，实施现场监察；</w:t>
      </w:r>
    </w:p>
    <w:p w14:paraId="6BA47E25">
      <w:pPr>
        <w:pStyle w:val="2"/>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（三）法律、法规和国家有关规定明确的其他惩戒措施。</w:t>
      </w:r>
    </w:p>
    <w:p w14:paraId="227C94AB">
      <w:pPr>
        <w:pStyle w:val="2"/>
        <w:keepNext w:val="0"/>
        <w:keepLines w:val="0"/>
        <w:widowControl/>
        <w:suppressLineNumbers w:val="0"/>
        <w:spacing w:line="585" w:lineRule="atLeast"/>
        <w:ind w:left="0" w:firstLine="0"/>
        <w:jc w:val="center"/>
        <w:rPr>
          <w:rFonts w:hint="eastAsia" w:ascii="sans-serif" w:hAnsi="sans-serif" w:eastAsia="宋体" w:cs="sans-serif"/>
          <w:i w:val="0"/>
          <w:iCs w:val="0"/>
          <w:caps w:val="0"/>
          <w:color w:val="000000"/>
          <w:spacing w:val="0"/>
          <w:sz w:val="27"/>
          <w:szCs w:val="27"/>
          <w:lang w:eastAsia="zh-CN"/>
        </w:rPr>
      </w:pPr>
      <w:r>
        <w:rPr>
          <w:rFonts w:hint="eastAsia" w:ascii="楷体_GB2312" w:hAnsi="sans-serif" w:eastAsia="楷体_GB2312" w:cs="楷体_GB2312"/>
          <w:i w:val="0"/>
          <w:iCs w:val="0"/>
          <w:caps w:val="0"/>
          <w:color w:val="000000"/>
          <w:spacing w:val="0"/>
          <w:sz w:val="31"/>
          <w:szCs w:val="31"/>
          <w:lang w:eastAsia="zh-CN"/>
        </w:rPr>
        <w:t xml:space="preserve"> </w:t>
      </w:r>
    </w:p>
    <w:p w14:paraId="1BFE5C02">
      <w:pPr>
        <w:pStyle w:val="2"/>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第四章</w:t>
      </w:r>
      <w:r>
        <w:rPr>
          <w:rFonts w:hint="eastAsia" w:ascii="黑体" w:hAnsi="宋体" w:eastAsia="黑体" w:cs="黑体"/>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附则</w:t>
      </w:r>
    </w:p>
    <w:p w14:paraId="26934CDD">
      <w:pPr>
        <w:pStyle w:val="2"/>
        <w:keepNext w:val="0"/>
        <w:keepLines w:val="0"/>
        <w:widowControl/>
        <w:suppressLineNumbers w:val="0"/>
        <w:spacing w:line="585" w:lineRule="atLeast"/>
        <w:ind w:left="0" w:right="30" w:firstLine="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lang w:eastAsia="zh-CN"/>
        </w:rPr>
        <w:t xml:space="preserve">    </w:t>
      </w:r>
      <w:r>
        <w:rPr>
          <w:rFonts w:hint="default" w:ascii="楷体_GB2312" w:hAnsi="sans-serif" w:eastAsia="楷体_GB2312" w:cs="楷体_GB2312"/>
          <w:i w:val="0"/>
          <w:iCs w:val="0"/>
          <w:caps w:val="0"/>
          <w:color w:val="000000"/>
          <w:spacing w:val="0"/>
          <w:sz w:val="31"/>
          <w:szCs w:val="31"/>
        </w:rPr>
        <w:t>第十五条</w:t>
      </w:r>
      <w:r>
        <w:rPr>
          <w:rFonts w:hint="eastAsia" w:ascii="黑体" w:hAnsi="宋体" w:eastAsia="黑体" w:cs="黑体"/>
          <w:i w:val="0"/>
          <w:iCs w:val="0"/>
          <w:caps w:val="0"/>
          <w:color w:val="000000"/>
          <w:spacing w:val="0"/>
          <w:sz w:val="31"/>
          <w:szCs w:val="31"/>
          <w:lang w:eastAsia="zh-CN"/>
        </w:rPr>
        <w:t xml:space="preserve">  </w:t>
      </w:r>
      <w:r>
        <w:rPr>
          <w:rFonts w:hint="eastAsia" w:ascii="仿宋_GB2312" w:hAnsi="sans-serif" w:eastAsia="仿宋_GB2312" w:cs="仿宋_GB2312"/>
          <w:i w:val="0"/>
          <w:iCs w:val="0"/>
          <w:caps w:val="0"/>
          <w:color w:val="000000"/>
          <w:spacing w:val="0"/>
          <w:sz w:val="31"/>
          <w:szCs w:val="31"/>
        </w:rPr>
        <w:t>本办法自印发之日起施行，有效期五年。</w:t>
      </w:r>
    </w:p>
    <w:p w14:paraId="3F8857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6AF408DA"/>
    <w:rsid w:val="6AF40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1658</Words>
  <Characters>1691</Characters>
  <Lines>0</Lines>
  <Paragraphs>0</Paragraphs>
  <TotalTime>2</TotalTime>
  <ScaleCrop>false</ScaleCrop>
  <LinksUpToDate>false</LinksUpToDate>
  <CharactersWithSpaces>1699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2025-02-28T07:29:00Z</dcterms:created>
  <dc:creator>WPS_1628732352</dc:creator>
  <cp:lastModifiedBy>WPS_1628732352</cp:lastModifiedBy>
  <dcterms:modified xsi:type="dcterms:W3CDTF">2025-02-28T07:32:17Z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06A3B869AEB548DD8BB46FDB8D797EF1_11</vt:lpwstr>
  </property>
</Properties>
</file>