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天津市发展和改革委员会</w:t>
      </w:r>
      <w:r>
        <w:rPr>
          <w:rFonts w:hint="eastAsia" w:ascii="方正小标宋简体" w:hAnsi="方正小标宋_GBK" w:eastAsia="方正小标宋简体" w:cs="方正小标宋_GBK"/>
          <w:color w:val="000000"/>
          <w:sz w:val="56"/>
          <w:lang w:eastAsia="zh-CN"/>
        </w:rPr>
        <w:t>（本级）</w:t>
      </w:r>
    </w:p>
    <w:p>
      <w:pPr>
        <w:jc w:val="center"/>
        <w:rPr>
          <w:rFonts w:ascii="方正小标宋简体" w:hAnsi="方正小标宋_GBK" w:eastAsia="方正小标宋简体" w:cs="方正小标宋_GBK"/>
          <w:color w:val="000000"/>
          <w:sz w:val="56"/>
          <w:lang w:eastAsia="zh-CN"/>
        </w:rPr>
      </w:pPr>
      <w:r>
        <w:rPr>
          <w:rFonts w:hint="eastAsia" w:ascii="方正小标宋简体" w:hAnsi="方正小标宋_GBK" w:eastAsia="方正小标宋简体" w:cs="方正小标宋_GBK"/>
          <w:color w:val="000000"/>
          <w:sz w:val="56"/>
          <w:lang w:eastAsia="zh-CN"/>
        </w:rPr>
        <w:t>项目支出绩效目标表</w:t>
      </w:r>
    </w:p>
    <w:p>
      <w:pPr>
        <w:jc w:val="center"/>
        <w:rPr>
          <w:rFonts w:hint="eastAsia"/>
        </w:rPr>
      </w:pPr>
      <w:r>
        <w:rPr>
          <w:rFonts w:hint="eastAsia" w:ascii="方正小标宋简体" w:hAnsi="方正小标宋_GBK" w:eastAsia="方正小标宋简体" w:cs="方正小标宋_GBK"/>
          <w:color w:val="000000"/>
          <w:sz w:val="56"/>
          <w:lang w:eastAsia="zh-CN"/>
        </w:rPr>
        <w:t>（2024</w:t>
      </w:r>
      <w:r>
        <w:rPr>
          <w:rFonts w:hint="eastAsia" w:ascii="方正小标宋简体" w:hAnsi="方正小标宋_GBK" w:eastAsia="方正小标宋简体" w:cs="方正小标宋_GBK"/>
          <w:color w:val="000000"/>
          <w:sz w:val="48"/>
          <w:lang w:eastAsia="zh-CN"/>
        </w:rPr>
        <w:t>年</w:t>
      </w:r>
      <w:r>
        <w:rPr>
          <w:rFonts w:hint="eastAsia" w:ascii="方正小标宋简体" w:hAnsi="方正小标宋_GBK" w:eastAsia="方正小标宋简体" w:cs="方正小标宋_GBK"/>
          <w:color w:val="000000"/>
          <w:sz w:val="48"/>
          <w:lang w:val="uk-UA"/>
        </w:rPr>
        <w:t>）</w:t>
      </w:r>
      <w:r>
        <w:rPr>
          <w:rFonts w:hint="eastAsia" w:ascii="宋体" w:hAnsi="宋体" w:eastAsia="宋体" w:cs="宋体"/>
          <w:sz w:val="21"/>
          <w:lang w:val="uk-UA"/>
        </w:rPr>
        <w:t xml:space="preserve"> </w:t>
      </w:r>
    </w:p>
    <w:p>
      <w:pPr>
        <w:jc w:val="center"/>
      </w:pPr>
      <w:r>
        <w:rPr>
          <w:rFonts w:hint="eastAsia" w:ascii="宋体" w:hAnsi="宋体" w:eastAsia="宋体" w:cs="宋体"/>
          <w:sz w:val="21"/>
        </w:rPr>
        <w:t xml:space="preserve"> </w:t>
      </w:r>
    </w:p>
    <w:p>
      <w:pPr>
        <w:sectPr>
          <w:pgSz w:w="11900" w:h="16840"/>
          <w:pgMar w:top="1984" w:right="1304" w:bottom="1134" w:left="1304" w:header="720" w:footer="720" w:gutter="0"/>
          <w:cols w:space="720" w:num="1"/>
        </w:sectPr>
      </w:pPr>
    </w:p>
    <w:p>
      <w:pPr>
        <w:jc w:val="center"/>
      </w:pPr>
      <w:r>
        <w:rPr>
          <w:rFonts w:ascii="方正小标宋_GBK" w:hAnsi="方正小标宋_GBK" w:eastAsia="方正小标宋_GBK" w:cs="方正小标宋_GBK"/>
          <w:sz w:val="36"/>
        </w:rPr>
        <w:t xml:space="preserve"> </w:t>
      </w:r>
    </w:p>
    <w:p>
      <w:pPr>
        <w:jc w:val="center"/>
        <w:outlineLvl w:val="0"/>
      </w:pPr>
      <w:r>
        <w:rPr>
          <w:rFonts w:ascii="方正小标宋_GBK" w:hAnsi="方正小标宋_GBK" w:eastAsia="方正小标宋_GBK" w:cs="方正小标宋_GBK"/>
          <w:sz w:val="36"/>
        </w:rPr>
        <w:t>目    录</w:t>
      </w:r>
    </w:p>
    <w:p>
      <w:pPr>
        <w:jc w:val="center"/>
      </w:pPr>
      <w:r>
        <w:rPr>
          <w:rFonts w:ascii="方正小标宋_GBK" w:hAnsi="方正小标宋_GBK" w:eastAsia="方正小标宋_GBK" w:cs="方正小标宋_GBK"/>
          <w:sz w:val="30"/>
        </w:rPr>
        <w:t xml:space="preserve"> </w:t>
      </w:r>
    </w:p>
    <w:p>
      <w:pPr>
        <w:pStyle w:val="5"/>
        <w:tabs>
          <w:tab w:val="right" w:pos="9282"/>
        </w:tabs>
        <w:rPr>
          <w:rFonts w:asciiTheme="minorHAnsi" w:hAnsiTheme="minorHAnsi" w:eastAsiaTheme="minorEastAsia" w:cstheme="minorBidi"/>
          <w:kern w:val="2"/>
          <w:sz w:val="21"/>
          <w:szCs w:val="22"/>
          <w:lang w:eastAsia="zh-CN"/>
        </w:rPr>
      </w:pPr>
      <w:r>
        <w:rPr>
          <w:rFonts w:eastAsia="方正仿宋_GBK"/>
          <w:color w:val="000000"/>
          <w:sz w:val="28"/>
        </w:rPr>
        <w:fldChar w:fldCharType="begin"/>
      </w:r>
      <w:r>
        <w:rPr>
          <w:rFonts w:eastAsia="方正仿宋_GBK"/>
          <w:color w:val="000000"/>
          <w:sz w:val="28"/>
        </w:rPr>
        <w:instrText xml:space="preserve"> TOC \o "4-4" \n \h \z \u </w:instrText>
      </w:r>
      <w:r>
        <w:rPr>
          <w:rFonts w:eastAsia="方正仿宋_GBK"/>
          <w:color w:val="000000"/>
          <w:sz w:val="28"/>
        </w:rPr>
        <w:fldChar w:fldCharType="separate"/>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"_Toc157759605" </w:instrText>
      </w:r>
      <w:r>
        <w:fldChar w:fldCharType="separate"/>
      </w:r>
      <w:r>
        <w:rPr>
          <w:rStyle w:val="10"/>
          <w:rFonts w:hint="eastAsia" w:ascii="方正仿宋_GBK" w:hAnsi="方正仿宋_GBK" w:eastAsia="方正仿宋_GBK" w:cs="方正仿宋_GBK"/>
          <w:lang w:val="en-US" w:eastAsia="zh-CN"/>
        </w:rPr>
        <w:t>1</w:t>
      </w:r>
      <w:r>
        <w:rPr>
          <w:rStyle w:val="10"/>
          <w:rFonts w:ascii="方正仿宋_GBK" w:hAnsi="方正仿宋_GBK" w:eastAsia="方正仿宋_GBK" w:cs="方正仿宋_GBK"/>
        </w:rPr>
        <w:t>.2023</w:t>
      </w:r>
      <w:r>
        <w:rPr>
          <w:rStyle w:val="10"/>
          <w:rFonts w:hint="eastAsia" w:ascii="方正仿宋_GBK" w:hAnsi="方正仿宋_GBK" w:eastAsia="方正仿宋_GBK" w:cs="方正仿宋_GBK"/>
        </w:rPr>
        <w:t>年中央财政农产品成本调查经费绩效目标表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"_Toc157759606" </w:instrText>
      </w:r>
      <w:r>
        <w:fldChar w:fldCharType="separate"/>
      </w:r>
      <w:r>
        <w:rPr>
          <w:rStyle w:val="10"/>
          <w:rFonts w:hint="eastAsia" w:ascii="方正仿宋_GBK" w:hAnsi="方正仿宋_GBK" w:eastAsia="方正仿宋_GBK" w:cs="方正仿宋_GBK"/>
          <w:lang w:val="en-US" w:eastAsia="zh-CN"/>
        </w:rPr>
        <w:t>2</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年诚信体系建设经费绩效目标表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"_Toc157759607" </w:instrText>
      </w:r>
      <w:r>
        <w:fldChar w:fldCharType="separate"/>
      </w:r>
      <w:r>
        <w:rPr>
          <w:rStyle w:val="10"/>
          <w:rFonts w:hint="eastAsia" w:ascii="方正仿宋_GBK" w:hAnsi="方正仿宋_GBK" w:eastAsia="方正仿宋_GBK" w:cs="方正仿宋_GBK"/>
          <w:lang w:val="en-US" w:eastAsia="zh-CN"/>
        </w:rPr>
        <w:t>3</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年服务业专项资金评审及项目验收项目绩效目标表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"_Toc157759608" </w:instrText>
      </w:r>
      <w:r>
        <w:fldChar w:fldCharType="separate"/>
      </w:r>
      <w:r>
        <w:rPr>
          <w:rStyle w:val="10"/>
          <w:rFonts w:hint="eastAsia" w:ascii="方正仿宋_GBK" w:hAnsi="方正仿宋_GBK" w:eastAsia="方正仿宋_GBK" w:cs="方正仿宋_GBK"/>
          <w:lang w:val="en-US" w:eastAsia="zh-CN"/>
        </w:rPr>
        <w:t>4</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年规划编制评估评审等重点工作经费绩效目标表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"_Toc157759610" </w:instrText>
      </w:r>
      <w:r>
        <w:fldChar w:fldCharType="separate"/>
      </w:r>
      <w:r>
        <w:rPr>
          <w:rStyle w:val="10"/>
          <w:rFonts w:hint="eastAsia" w:ascii="方正仿宋_GBK" w:hAnsi="方正仿宋_GBK" w:eastAsia="方正仿宋_GBK" w:cs="方正仿宋_GBK"/>
          <w:lang w:val="en-US" w:eastAsia="zh-CN"/>
        </w:rPr>
        <w:t>5</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年节能降碳专项资金绩效目标表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"_Toc157759611" </w:instrText>
      </w:r>
      <w:r>
        <w:fldChar w:fldCharType="separate"/>
      </w:r>
      <w:r>
        <w:rPr>
          <w:rStyle w:val="10"/>
          <w:rFonts w:hint="eastAsia" w:ascii="方正仿宋_GBK" w:hAnsi="方正仿宋_GBK" w:eastAsia="方正仿宋_GBK" w:cs="方正仿宋_GBK"/>
          <w:lang w:val="en-US" w:eastAsia="zh-CN"/>
        </w:rPr>
        <w:t>6</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年京津冀协同发展工作经费绩效目标表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"_Toc157759612" </w:instrText>
      </w:r>
      <w:r>
        <w:fldChar w:fldCharType="separate"/>
      </w:r>
      <w:r>
        <w:rPr>
          <w:rStyle w:val="10"/>
          <w:rFonts w:hint="eastAsia" w:ascii="方正仿宋_GBK" w:hAnsi="方正仿宋_GBK" w:eastAsia="方正仿宋_GBK" w:cs="方正仿宋_GBK"/>
          <w:lang w:val="en-US" w:eastAsia="zh-CN"/>
        </w:rPr>
        <w:t>7</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年农产品成本调查及重要商品和服务价格成本监审经费绩效目标表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"_Toc157759613" </w:instrText>
      </w:r>
      <w:r>
        <w:fldChar w:fldCharType="separate"/>
      </w:r>
      <w:r>
        <w:rPr>
          <w:rStyle w:val="10"/>
          <w:rFonts w:hint="eastAsia" w:ascii="方正仿宋_GBK" w:hAnsi="方正仿宋_GBK" w:eastAsia="方正仿宋_GBK" w:cs="方正仿宋_GBK"/>
          <w:lang w:val="en-US" w:eastAsia="zh-CN"/>
        </w:rPr>
        <w:t>8</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年市服务业专项资金支持企业绩效目标表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"_Toc157759614" </w:instrText>
      </w:r>
      <w:r>
        <w:fldChar w:fldCharType="separate"/>
      </w:r>
      <w:r>
        <w:rPr>
          <w:rStyle w:val="10"/>
          <w:rFonts w:hint="eastAsia" w:ascii="方正仿宋_GBK" w:hAnsi="方正仿宋_GBK" w:eastAsia="方正仿宋_GBK" w:cs="方正仿宋_GBK"/>
          <w:lang w:val="en-US" w:eastAsia="zh-CN"/>
        </w:rPr>
        <w:t>9</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年统筹安全保障项目绩效目标表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"_Toc157759615" </w:instrText>
      </w:r>
      <w:r>
        <w:fldChar w:fldCharType="separate"/>
      </w:r>
      <w:r>
        <w:rPr>
          <w:rStyle w:val="10"/>
          <w:rFonts w:ascii="方正仿宋_GBK" w:hAnsi="方正仿宋_GBK" w:eastAsia="方正仿宋_GBK" w:cs="方正仿宋_GBK"/>
        </w:rPr>
        <w:t>1</w:t>
      </w:r>
      <w:r>
        <w:rPr>
          <w:rStyle w:val="10"/>
          <w:rFonts w:hint="eastAsia" w:ascii="方正仿宋_GBK" w:hAnsi="方正仿宋_GBK" w:eastAsia="方正仿宋_GBK" w:cs="方正仿宋_GBK"/>
          <w:lang w:val="en-US" w:eastAsia="zh-CN"/>
        </w:rPr>
        <w:t>0</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年推动高质量发展</w:t>
      </w:r>
      <w:r>
        <w:rPr>
          <w:rStyle w:val="10"/>
          <w:rFonts w:ascii="方正仿宋_GBK" w:hAnsi="方正仿宋_GBK" w:eastAsia="方正仿宋_GBK" w:cs="方正仿宋_GBK"/>
        </w:rPr>
        <w:t>“</w:t>
      </w:r>
      <w:r>
        <w:rPr>
          <w:rStyle w:val="10"/>
          <w:rFonts w:hint="eastAsia" w:ascii="方正仿宋_GBK" w:hAnsi="方正仿宋_GBK" w:eastAsia="方正仿宋_GBK" w:cs="方正仿宋_GBK"/>
        </w:rPr>
        <w:t>十项行动</w:t>
      </w:r>
      <w:r>
        <w:rPr>
          <w:rStyle w:val="10"/>
          <w:rFonts w:ascii="方正仿宋_GBK" w:hAnsi="方正仿宋_GBK" w:eastAsia="方正仿宋_GBK" w:cs="方正仿宋_GBK"/>
        </w:rPr>
        <w:t>”</w:t>
      </w:r>
      <w:r>
        <w:rPr>
          <w:rStyle w:val="10"/>
          <w:rFonts w:hint="eastAsia" w:ascii="方正仿宋_GBK" w:hAnsi="方正仿宋_GBK" w:eastAsia="方正仿宋_GBK" w:cs="方正仿宋_GBK"/>
        </w:rPr>
        <w:t>及推动</w:t>
      </w:r>
      <w:r>
        <w:rPr>
          <w:rStyle w:val="10"/>
          <w:rFonts w:ascii="方正仿宋_GBK" w:hAnsi="方正仿宋_GBK" w:eastAsia="方正仿宋_GBK" w:cs="方正仿宋_GBK"/>
        </w:rPr>
        <w:t>“</w:t>
      </w:r>
      <w:r>
        <w:rPr>
          <w:rStyle w:val="10"/>
          <w:rFonts w:hint="eastAsia" w:ascii="方正仿宋_GBK" w:hAnsi="方正仿宋_GBK" w:eastAsia="方正仿宋_GBK" w:cs="方正仿宋_GBK"/>
        </w:rPr>
        <w:t>经济运行、项目运行两个条线调度</w:t>
      </w:r>
      <w:r>
        <w:rPr>
          <w:rStyle w:val="10"/>
          <w:rFonts w:ascii="方正仿宋_GBK" w:hAnsi="方正仿宋_GBK" w:eastAsia="方正仿宋_GBK" w:cs="方正仿宋_GBK"/>
        </w:rPr>
        <w:t>”</w:t>
      </w:r>
      <w:r>
        <w:rPr>
          <w:rStyle w:val="10"/>
          <w:rFonts w:hint="eastAsia" w:ascii="方正仿宋_GBK" w:hAnsi="方正仿宋_GBK" w:eastAsia="方正仿宋_GBK" w:cs="方正仿宋_GBK"/>
        </w:rPr>
        <w:t>工作经费绩效目标表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"_Toc157759616" </w:instrText>
      </w:r>
      <w:r>
        <w:fldChar w:fldCharType="separate"/>
      </w:r>
      <w:r>
        <w:rPr>
          <w:rStyle w:val="10"/>
          <w:rFonts w:ascii="方正仿宋_GBK" w:hAnsi="方正仿宋_GBK" w:eastAsia="方正仿宋_GBK" w:cs="方正仿宋_GBK"/>
        </w:rPr>
        <w:t>1</w:t>
      </w:r>
      <w:r>
        <w:rPr>
          <w:rStyle w:val="10"/>
          <w:rFonts w:hint="eastAsia" w:ascii="方正仿宋_GBK" w:hAnsi="方正仿宋_GBK" w:eastAsia="方正仿宋_GBK" w:cs="方正仿宋_GBK"/>
          <w:lang w:val="en-US" w:eastAsia="zh-CN"/>
        </w:rPr>
        <w:t>1</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年中央财政农产品成本调查经费绩效目标表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"_Toc157759617" </w:instrText>
      </w:r>
      <w:r>
        <w:fldChar w:fldCharType="separate"/>
      </w:r>
      <w:r>
        <w:rPr>
          <w:rStyle w:val="10"/>
          <w:rFonts w:ascii="方正仿宋_GBK" w:hAnsi="方正仿宋_GBK" w:eastAsia="方正仿宋_GBK" w:cs="方正仿宋_GBK"/>
        </w:rPr>
        <w:t>1</w:t>
      </w:r>
      <w:r>
        <w:rPr>
          <w:rStyle w:val="10"/>
          <w:rFonts w:hint="eastAsia" w:ascii="方正仿宋_GBK" w:hAnsi="方正仿宋_GBK" w:eastAsia="方正仿宋_GBK" w:cs="方正仿宋_GBK"/>
          <w:lang w:val="en-US" w:eastAsia="zh-CN"/>
        </w:rPr>
        <w:t>2</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年重大会议活动经费绩效目标表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"_Toc157759618" </w:instrText>
      </w:r>
      <w:r>
        <w:fldChar w:fldCharType="separate"/>
      </w:r>
      <w:r>
        <w:rPr>
          <w:rStyle w:val="10"/>
          <w:rFonts w:ascii="方正仿宋_GBK" w:hAnsi="方正仿宋_GBK" w:eastAsia="方正仿宋_GBK" w:cs="方正仿宋_GBK"/>
        </w:rPr>
        <w:t>1</w:t>
      </w:r>
      <w:r>
        <w:rPr>
          <w:rStyle w:val="10"/>
          <w:rFonts w:hint="eastAsia" w:ascii="方正仿宋_GBK" w:hAnsi="方正仿宋_GBK" w:eastAsia="方正仿宋_GBK" w:cs="方正仿宋_GBK"/>
          <w:lang w:val="en-US" w:eastAsia="zh-CN"/>
        </w:rPr>
        <w:t>3</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年重点项目办公室工作经费绩效目标表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"_Toc157759619" </w:instrText>
      </w:r>
      <w:r>
        <w:fldChar w:fldCharType="separate"/>
      </w:r>
      <w:r>
        <w:rPr>
          <w:rStyle w:val="10"/>
          <w:rFonts w:ascii="方正仿宋_GBK" w:hAnsi="方正仿宋_GBK" w:eastAsia="方正仿宋_GBK" w:cs="方正仿宋_GBK"/>
        </w:rPr>
        <w:t>1</w:t>
      </w:r>
      <w:r>
        <w:rPr>
          <w:rStyle w:val="10"/>
          <w:rFonts w:hint="eastAsia" w:ascii="方正仿宋_GBK" w:hAnsi="方正仿宋_GBK" w:eastAsia="方正仿宋_GBK" w:cs="方正仿宋_GBK"/>
          <w:lang w:val="en-US" w:eastAsia="zh-CN"/>
        </w:rPr>
        <w:t>4</w:t>
      </w:r>
      <w:r>
        <w:rPr>
          <w:rStyle w:val="10"/>
          <w:rFonts w:ascii="方正仿宋_GBK" w:hAnsi="方正仿宋_GBK" w:eastAsia="方正仿宋_GBK" w:cs="方正仿宋_GBK"/>
        </w:rPr>
        <w:t>.</w:t>
      </w:r>
      <w:r>
        <w:rPr>
          <w:rStyle w:val="10"/>
          <w:rFonts w:hint="eastAsia" w:ascii="方正仿宋_GBK" w:hAnsi="方正仿宋_GBK" w:eastAsia="方正仿宋_GBK" w:cs="方正仿宋_GBK"/>
        </w:rPr>
        <w:t>节能减排补助资金</w:t>
      </w:r>
      <w:r>
        <w:rPr>
          <w:rStyle w:val="10"/>
          <w:rFonts w:ascii="方正仿宋_GBK" w:hAnsi="方正仿宋_GBK" w:eastAsia="方正仿宋_GBK" w:cs="方正仿宋_GBK"/>
        </w:rPr>
        <w:t>-</w:t>
      </w:r>
      <w:r>
        <w:rPr>
          <w:rStyle w:val="10"/>
          <w:rFonts w:hint="eastAsia" w:ascii="方正仿宋_GBK" w:hAnsi="方正仿宋_GBK" w:eastAsia="方正仿宋_GBK" w:cs="方正仿宋_GBK"/>
        </w:rPr>
        <w:t>中央绩效目标表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"_Toc157759620" </w:instrText>
      </w:r>
      <w:r>
        <w:fldChar w:fldCharType="separate"/>
      </w:r>
      <w:r>
        <w:rPr>
          <w:rStyle w:val="10"/>
          <w:rFonts w:ascii="方正仿宋_GBK" w:hAnsi="方正仿宋_GBK" w:eastAsia="方正仿宋_GBK" w:cs="方正仿宋_GBK"/>
        </w:rPr>
        <w:t>1</w:t>
      </w:r>
      <w:r>
        <w:rPr>
          <w:rStyle w:val="10"/>
          <w:rFonts w:hint="eastAsia" w:ascii="方正仿宋_GBK" w:hAnsi="方正仿宋_GBK" w:eastAsia="方正仿宋_GBK" w:cs="方正仿宋_GBK"/>
          <w:lang w:val="en-US" w:eastAsia="zh-CN"/>
        </w:rPr>
        <w:t>5</w:t>
      </w:r>
      <w:r>
        <w:rPr>
          <w:rStyle w:val="10"/>
          <w:rFonts w:ascii="方正仿宋_GBK" w:hAnsi="方正仿宋_GBK" w:eastAsia="方正仿宋_GBK" w:cs="方正仿宋_GBK"/>
        </w:rPr>
        <w:t>.</w:t>
      </w:r>
      <w:r>
        <w:rPr>
          <w:rStyle w:val="10"/>
          <w:rFonts w:hint="eastAsia" w:ascii="方正仿宋_GBK" w:hAnsi="方正仿宋_GBK" w:eastAsia="方正仿宋_GBK" w:cs="方正仿宋_GBK"/>
        </w:rPr>
        <w:t>市发改委一般债券还款利息</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债券利息绩效目标表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"_Toc157759622" </w:instrText>
      </w:r>
      <w:r>
        <w:fldChar w:fldCharType="separate"/>
      </w:r>
      <w:r>
        <w:rPr>
          <w:rStyle w:val="10"/>
          <w:rFonts w:ascii="方正仿宋_GBK" w:hAnsi="方正仿宋_GBK" w:eastAsia="方正仿宋_GBK" w:cs="方正仿宋_GBK"/>
        </w:rPr>
        <w:t>1</w:t>
      </w:r>
      <w:r>
        <w:rPr>
          <w:rStyle w:val="10"/>
          <w:rFonts w:hint="eastAsia" w:ascii="方正仿宋_GBK" w:hAnsi="方正仿宋_GBK" w:eastAsia="方正仿宋_GBK" w:cs="方正仿宋_GBK"/>
          <w:lang w:val="en-US" w:eastAsia="zh-CN"/>
        </w:rPr>
        <w:t>6</w:t>
      </w:r>
      <w:r>
        <w:rPr>
          <w:rStyle w:val="10"/>
          <w:rFonts w:ascii="方正仿宋_GBK" w:hAnsi="方正仿宋_GBK" w:eastAsia="方正仿宋_GBK" w:cs="方正仿宋_GBK"/>
        </w:rPr>
        <w:t>.</w:t>
      </w:r>
      <w:r>
        <w:rPr>
          <w:rStyle w:val="10"/>
          <w:rFonts w:hint="eastAsia" w:ascii="方正仿宋_GBK" w:hAnsi="方正仿宋_GBK" w:eastAsia="方正仿宋_GBK" w:cs="方正仿宋_GBK"/>
        </w:rPr>
        <w:t>制造业方向</w:t>
      </w:r>
      <w:r>
        <w:rPr>
          <w:rStyle w:val="10"/>
          <w:rFonts w:ascii="方正仿宋_GBK" w:hAnsi="方正仿宋_GBK" w:eastAsia="方正仿宋_GBK" w:cs="方正仿宋_GBK"/>
        </w:rPr>
        <w:t>-2024</w:t>
      </w:r>
      <w:r>
        <w:rPr>
          <w:rStyle w:val="10"/>
          <w:rFonts w:hint="eastAsia" w:ascii="方正仿宋_GBK" w:hAnsi="方正仿宋_GBK" w:eastAsia="方正仿宋_GBK" w:cs="方正仿宋_GBK"/>
        </w:rPr>
        <w:t>年中小企业发展专项（民营经济）绩效目标表</w:t>
      </w:r>
      <w:r>
        <w:rPr>
          <w:rStyle w:val="10"/>
          <w:rFonts w:hint="eastAsia" w:ascii="方正仿宋_GBK" w:hAnsi="方正仿宋_GBK" w:eastAsia="方正仿宋_GBK" w:cs="方正仿宋_GBK"/>
        </w:rPr>
        <w:fldChar w:fldCharType="end"/>
      </w:r>
    </w:p>
    <w:p>
      <w:pPr>
        <w:pStyle w:val="5"/>
        <w:tabs>
          <w:tab w:val="right" w:pos="9282"/>
        </w:tabs>
        <w:rPr>
          <w:rFonts w:asciiTheme="minorHAnsi" w:hAnsiTheme="minorHAnsi" w:eastAsiaTheme="minorEastAsia" w:cstheme="minorBidi"/>
          <w:kern w:val="2"/>
          <w:sz w:val="21"/>
          <w:szCs w:val="22"/>
          <w:lang w:eastAsia="zh-CN"/>
        </w:rPr>
      </w:pPr>
    </w:p>
    <w:p>
      <w:pPr>
        <w:sectPr>
          <w:footerReference r:id="rId3" w:type="default"/>
          <w:footerReference r:id="rId4" w:type="even"/>
          <w:pgSz w:w="11900" w:h="16840"/>
          <w:pgMar w:top="1984" w:right="1304" w:bottom="1134" w:left="1304" w:header="720" w:footer="720" w:gutter="0"/>
          <w:pgNumType w:start="1"/>
          <w:cols w:space="720" w:num="1"/>
        </w:sectPr>
      </w:pPr>
      <w:r>
        <w:rPr>
          <w:rFonts w:eastAsia="方正仿宋_GBK"/>
          <w:color w:val="000000"/>
          <w:sz w:val="28"/>
        </w:rPr>
        <w:fldChar w:fldCharType="end"/>
      </w:r>
      <w:bookmarkStart w:id="16" w:name="_GoBack"/>
      <w:bookmarkEnd w:id="16"/>
    </w:p>
    <w:p>
      <w:pPr>
        <w:jc w:val="center"/>
      </w:pPr>
      <w:r>
        <w:rPr>
          <w:rFonts w:ascii="方正仿宋_GBK" w:hAnsi="方正仿宋_GBK" w:eastAsia="方正仿宋_GBK" w:cs="方正仿宋_GBK"/>
          <w:sz w:val="28"/>
        </w:rPr>
        <w:t xml:space="preserve"> </w:t>
      </w:r>
    </w:p>
    <w:p>
      <w:pPr>
        <w:ind w:firstLine="560"/>
        <w:outlineLvl w:val="3"/>
      </w:pPr>
      <w:bookmarkStart w:id="0" w:name="_Toc157759605"/>
      <w:r>
        <w:rPr>
          <w:rFonts w:hint="eastAsia" w:ascii="方正仿宋_GBK" w:hAnsi="方正仿宋_GBK" w:eastAsia="方正仿宋_GBK" w:cs="方正仿宋_GBK"/>
          <w:sz w:val="28"/>
          <w:lang w:val="en-US" w:eastAsia="zh-CN"/>
        </w:rPr>
        <w:t>1</w:t>
      </w:r>
      <w:r>
        <w:rPr>
          <w:rFonts w:ascii="方正仿宋_GBK" w:hAnsi="方正仿宋_GBK" w:eastAsia="方正仿宋_GBK" w:cs="方正仿宋_GBK"/>
          <w:sz w:val="28"/>
        </w:rPr>
        <w:t>.2023年中央财政农产品成本调查经费绩效目标表</w:t>
      </w:r>
      <w:bookmarkEnd w:id="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2023年中央财政农产品成本调查经费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0.79</w:t>
            </w:r>
          </w:p>
        </w:tc>
        <w:tc>
          <w:tcPr>
            <w:tcW w:w="1587" w:type="dxa"/>
            <w:vAlign w:val="center"/>
          </w:tcPr>
          <w:p>
            <w:pPr>
              <w:pStyle w:val="17"/>
            </w:pPr>
            <w:r>
              <w:t>其中：财政    资金</w:t>
            </w:r>
          </w:p>
        </w:tc>
        <w:tc>
          <w:tcPr>
            <w:tcW w:w="1843" w:type="dxa"/>
            <w:vAlign w:val="center"/>
          </w:tcPr>
          <w:p>
            <w:pPr>
              <w:pStyle w:val="16"/>
            </w:pPr>
            <w:r>
              <w:t>0.79</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按照国家发改委工作要求，开展农产品成本调查工作，为政府宏观调控提供决策依据。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1.按照国家发改委工作要求，开展农产品成本调查工作，为政府宏观调控提供决策依据。</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培训人数</w:t>
            </w:r>
          </w:p>
        </w:tc>
        <w:tc>
          <w:tcPr>
            <w:tcW w:w="3430" w:type="dxa"/>
            <w:vAlign w:val="center"/>
          </w:tcPr>
          <w:p>
            <w:pPr>
              <w:pStyle w:val="16"/>
            </w:pPr>
            <w:r>
              <w:t>培训人数</w:t>
            </w:r>
          </w:p>
        </w:tc>
        <w:tc>
          <w:tcPr>
            <w:tcW w:w="2551" w:type="dxa"/>
            <w:vAlign w:val="center"/>
          </w:tcPr>
          <w:p>
            <w:pPr>
              <w:pStyle w:val="16"/>
            </w:pPr>
            <w:r>
              <w:t>≥48人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数据上报率</w:t>
            </w:r>
          </w:p>
        </w:tc>
        <w:tc>
          <w:tcPr>
            <w:tcW w:w="3430" w:type="dxa"/>
            <w:vAlign w:val="center"/>
          </w:tcPr>
          <w:p>
            <w:pPr>
              <w:pStyle w:val="16"/>
            </w:pPr>
            <w:r>
              <w:t>数据上报率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完成时限</w:t>
            </w:r>
          </w:p>
        </w:tc>
        <w:tc>
          <w:tcPr>
            <w:tcW w:w="3430" w:type="dxa"/>
            <w:vAlign w:val="center"/>
          </w:tcPr>
          <w:p>
            <w:pPr>
              <w:pStyle w:val="16"/>
            </w:pPr>
            <w:r>
              <w:t>完成时限</w:t>
            </w:r>
          </w:p>
        </w:tc>
        <w:tc>
          <w:tcPr>
            <w:tcW w:w="2551" w:type="dxa"/>
            <w:vAlign w:val="center"/>
          </w:tcPr>
          <w:p>
            <w:pPr>
              <w:pStyle w:val="16"/>
            </w:pPr>
            <w:r>
              <w:t>2024年底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成本调查经费</w:t>
            </w:r>
          </w:p>
        </w:tc>
        <w:tc>
          <w:tcPr>
            <w:tcW w:w="3430" w:type="dxa"/>
            <w:vAlign w:val="center"/>
          </w:tcPr>
          <w:p>
            <w:pPr>
              <w:pStyle w:val="16"/>
            </w:pPr>
            <w:r>
              <w:t>成本调查经费</w:t>
            </w:r>
          </w:p>
        </w:tc>
        <w:tc>
          <w:tcPr>
            <w:tcW w:w="2551" w:type="dxa"/>
            <w:vAlign w:val="center"/>
          </w:tcPr>
          <w:p>
            <w:pPr>
              <w:pStyle w:val="16"/>
            </w:pPr>
            <w:r>
              <w:t>≤0.79万元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宏观调控</w:t>
            </w:r>
          </w:p>
        </w:tc>
        <w:tc>
          <w:tcPr>
            <w:tcW w:w="3430" w:type="dxa"/>
            <w:vAlign w:val="center"/>
          </w:tcPr>
          <w:p>
            <w:pPr>
              <w:pStyle w:val="16"/>
            </w:pPr>
            <w:r>
              <w:t>为政府宏观调控提供数据支持</w:t>
            </w:r>
          </w:p>
        </w:tc>
        <w:tc>
          <w:tcPr>
            <w:tcW w:w="2551" w:type="dxa"/>
            <w:vAlign w:val="center"/>
          </w:tcPr>
          <w:p>
            <w:pPr>
              <w:pStyle w:val="16"/>
            </w:pPr>
            <w:r>
              <w:t>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培训对象满意度</w:t>
            </w:r>
          </w:p>
        </w:tc>
        <w:tc>
          <w:tcPr>
            <w:tcW w:w="3430" w:type="dxa"/>
            <w:vAlign w:val="center"/>
          </w:tcPr>
          <w:p>
            <w:pPr>
              <w:pStyle w:val="16"/>
            </w:pPr>
            <w:r>
              <w:t>培训对象满意度</w:t>
            </w:r>
          </w:p>
        </w:tc>
        <w:tc>
          <w:tcPr>
            <w:tcW w:w="2551" w:type="dxa"/>
            <w:vAlign w:val="center"/>
          </w:tcPr>
          <w:p>
            <w:pPr>
              <w:pStyle w:val="16"/>
            </w:pPr>
            <w:r>
              <w:t>≥90%</w:t>
            </w:r>
          </w:p>
        </w:tc>
      </w:tr>
    </w:tbl>
    <w:p>
      <w:pPr>
        <w:sectPr>
          <w:pgSz w:w="11900" w:h="16840"/>
          <w:pgMar w:top="1984" w:right="1304" w:bottom="1134" w:left="1304" w:header="720" w:footer="720" w:gutter="0"/>
          <w:cols w:space="720" w:num="1"/>
          <w:docGrid w:linePitch="326" w:charSpace="0"/>
        </w:sectPr>
      </w:pPr>
    </w:p>
    <w:p>
      <w:pPr>
        <w:jc w:val="center"/>
      </w:pPr>
      <w:r>
        <w:rPr>
          <w:rFonts w:ascii="方正仿宋_GBK" w:hAnsi="方正仿宋_GBK" w:eastAsia="方正仿宋_GBK" w:cs="方正仿宋_GBK"/>
          <w:sz w:val="28"/>
        </w:rPr>
        <w:t xml:space="preserve"> </w:t>
      </w:r>
    </w:p>
    <w:p>
      <w:pPr>
        <w:ind w:firstLine="560"/>
        <w:outlineLvl w:val="3"/>
      </w:pPr>
      <w:bookmarkStart w:id="1" w:name="_Toc157759606"/>
      <w:r>
        <w:rPr>
          <w:rFonts w:hint="eastAsia" w:ascii="方正仿宋_GBK" w:hAnsi="方正仿宋_GBK" w:eastAsia="方正仿宋_GBK" w:cs="方正仿宋_GBK"/>
          <w:sz w:val="28"/>
          <w:lang w:val="en-US" w:eastAsia="zh-CN"/>
        </w:rPr>
        <w:t>2</w:t>
      </w:r>
      <w:r>
        <w:rPr>
          <w:rFonts w:ascii="方正仿宋_GBK" w:hAnsi="方正仿宋_GBK" w:eastAsia="方正仿宋_GBK" w:cs="方正仿宋_GBK"/>
          <w:sz w:val="28"/>
        </w:rPr>
        <w:t>.2024年诚信体系建设经费绩效目标表</w:t>
      </w:r>
      <w:bookmarkEnd w:id="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2024年诚信体系建设经费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22.20</w:t>
            </w:r>
          </w:p>
        </w:tc>
        <w:tc>
          <w:tcPr>
            <w:tcW w:w="1587" w:type="dxa"/>
            <w:vAlign w:val="center"/>
          </w:tcPr>
          <w:p>
            <w:pPr>
              <w:pStyle w:val="17"/>
            </w:pPr>
            <w:r>
              <w:t>其中：财政    资金</w:t>
            </w:r>
          </w:p>
        </w:tc>
        <w:tc>
          <w:tcPr>
            <w:tcW w:w="1843" w:type="dxa"/>
            <w:vAlign w:val="center"/>
          </w:tcPr>
          <w:p>
            <w:pPr>
              <w:pStyle w:val="16"/>
            </w:pPr>
            <w:r>
              <w:t>22.20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1.完成2023年第六期《天津市区域信用状况监测双月报》编制工作，完成2023年第四季度《天津市市级部门诚信建设监测季报》编制工作，完成项目结项并按照合同支付尾款。2.完成天津市政务诚信第三方评价相关指标搜集工作，形成分析报告，完成项目结项并按照合同支付尾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1.完成2023年第六期《天津市区域信用状况监测双月报》编制工作，完成2023年第四季度《天津市市级部门诚信建设监测季报》编制工作，完成项目结项并按照合同支付尾款。</w:t>
            </w:r>
          </w:p>
          <w:p>
            <w:pPr>
              <w:pStyle w:val="16"/>
            </w:pPr>
          </w:p>
          <w:p>
            <w:pPr>
              <w:pStyle w:val="16"/>
            </w:pPr>
            <w:r>
              <w:t>2.完成天津市政务诚信第三方评价相关指标搜集工作，形成分析报告，完成项目结项并按照合同支付尾款。</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政务诚信第三方评价对象个数（对应绩效目标2）</w:t>
            </w:r>
          </w:p>
        </w:tc>
        <w:tc>
          <w:tcPr>
            <w:tcW w:w="3430" w:type="dxa"/>
            <w:vAlign w:val="center"/>
          </w:tcPr>
          <w:p>
            <w:pPr>
              <w:pStyle w:val="16"/>
            </w:pPr>
            <w:r>
              <w:t>受评主体个数</w:t>
            </w:r>
          </w:p>
        </w:tc>
        <w:tc>
          <w:tcPr>
            <w:tcW w:w="2551" w:type="dxa"/>
            <w:vAlign w:val="center"/>
          </w:tcPr>
          <w:p>
            <w:pPr>
              <w:pStyle w:val="16"/>
            </w:pPr>
            <w:r>
              <w:t>16个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形成2023年第六期《天津市区域信用状况监测双月报》份数（对应绩效目标1）</w:t>
            </w:r>
          </w:p>
        </w:tc>
        <w:tc>
          <w:tcPr>
            <w:tcW w:w="3430" w:type="dxa"/>
            <w:vAlign w:val="center"/>
          </w:tcPr>
          <w:p>
            <w:pPr>
              <w:pStyle w:val="16"/>
            </w:pPr>
            <w:r>
              <w:t>编制区域信用状况双月报</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形成2023年第四季度《天津市市级部门诚信建设监测季报》份数（对应绩效目标1）</w:t>
            </w:r>
          </w:p>
        </w:tc>
        <w:tc>
          <w:tcPr>
            <w:tcW w:w="3430" w:type="dxa"/>
            <w:vAlign w:val="center"/>
          </w:tcPr>
          <w:p>
            <w:pPr>
              <w:pStyle w:val="16"/>
            </w:pPr>
            <w:r>
              <w:t>编制市级部门诚信建设监测季报</w:t>
            </w:r>
          </w:p>
        </w:tc>
        <w:tc>
          <w:tcPr>
            <w:tcW w:w="2551" w:type="dxa"/>
            <w:vAlign w:val="center"/>
          </w:tcPr>
          <w:p>
            <w:pPr>
              <w:pStyle w:val="16"/>
            </w:pPr>
            <w:r>
              <w:t>1份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尾款资金到位率（对应绩效目标1和2）</w:t>
            </w:r>
          </w:p>
        </w:tc>
        <w:tc>
          <w:tcPr>
            <w:tcW w:w="3430" w:type="dxa"/>
            <w:vAlign w:val="center"/>
          </w:tcPr>
          <w:p>
            <w:pPr>
              <w:pStyle w:val="16"/>
            </w:pPr>
            <w:r>
              <w:t>尾款实际需要额度和财政拨付比例</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天津市社会信用体系建设评价与咨询服务(2023年度)项目结项时间（对应绩效目标1）</w:t>
            </w:r>
          </w:p>
        </w:tc>
        <w:tc>
          <w:tcPr>
            <w:tcW w:w="3430" w:type="dxa"/>
            <w:vAlign w:val="center"/>
          </w:tcPr>
          <w:p>
            <w:pPr>
              <w:pStyle w:val="16"/>
            </w:pPr>
            <w:r>
              <w:t>项目完成时间</w:t>
            </w:r>
          </w:p>
        </w:tc>
        <w:tc>
          <w:tcPr>
            <w:tcW w:w="2551" w:type="dxa"/>
            <w:vAlign w:val="center"/>
          </w:tcPr>
          <w:p>
            <w:pPr>
              <w:pStyle w:val="16"/>
            </w:pPr>
            <w:r>
              <w:t>2024年2月底前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天津市政务诚信第三方评价服务(2023年度)项目结项时间（对应绩效目标2）</w:t>
            </w:r>
          </w:p>
        </w:tc>
        <w:tc>
          <w:tcPr>
            <w:tcW w:w="3430" w:type="dxa"/>
            <w:vAlign w:val="center"/>
          </w:tcPr>
          <w:p>
            <w:pPr>
              <w:pStyle w:val="16"/>
            </w:pPr>
            <w:r>
              <w:t>项目完成时间</w:t>
            </w:r>
          </w:p>
        </w:tc>
        <w:tc>
          <w:tcPr>
            <w:tcW w:w="2551" w:type="dxa"/>
            <w:vAlign w:val="center"/>
          </w:tcPr>
          <w:p>
            <w:pPr>
              <w:pStyle w:val="16"/>
            </w:pPr>
            <w:r>
              <w:t>2024年2月底前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天津市社会信用体系建设评价与咨询服务(2023年度)项目尾款支出控制（对应绩效目标1）</w:t>
            </w:r>
          </w:p>
        </w:tc>
        <w:tc>
          <w:tcPr>
            <w:tcW w:w="3430" w:type="dxa"/>
            <w:vAlign w:val="center"/>
          </w:tcPr>
          <w:p>
            <w:pPr>
              <w:pStyle w:val="16"/>
            </w:pPr>
            <w:r>
              <w:t>上年度项目尾款</w:t>
            </w:r>
          </w:p>
        </w:tc>
        <w:tc>
          <w:tcPr>
            <w:tcW w:w="2551" w:type="dxa"/>
            <w:vAlign w:val="center"/>
          </w:tcPr>
          <w:p>
            <w:pPr>
              <w:pStyle w:val="16"/>
            </w:pPr>
            <w:r>
              <w:t>≤10.4万元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天津市政务诚信第三方评价(2023年度)项目尾款支出控制（对应绩效目标2）</w:t>
            </w:r>
          </w:p>
        </w:tc>
        <w:tc>
          <w:tcPr>
            <w:tcW w:w="3430" w:type="dxa"/>
            <w:vAlign w:val="center"/>
          </w:tcPr>
          <w:p>
            <w:pPr>
              <w:pStyle w:val="16"/>
            </w:pPr>
            <w:r>
              <w:t>上年度项目尾款</w:t>
            </w:r>
          </w:p>
        </w:tc>
        <w:tc>
          <w:tcPr>
            <w:tcW w:w="2551" w:type="dxa"/>
            <w:vAlign w:val="center"/>
          </w:tcPr>
          <w:p>
            <w:pPr>
              <w:pStyle w:val="16"/>
            </w:pPr>
            <w:r>
              <w:t>≤11.8万元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增强政府部门和公职人员诚信意识，推动社会信用体系建设相关业务工作开展。（对应绩效目标1和2）</w:t>
            </w:r>
          </w:p>
        </w:tc>
        <w:tc>
          <w:tcPr>
            <w:tcW w:w="3430" w:type="dxa"/>
            <w:vAlign w:val="center"/>
          </w:tcPr>
          <w:p>
            <w:pPr>
              <w:pStyle w:val="16"/>
            </w:pPr>
            <w:r>
              <w:t>社会效益</w:t>
            </w:r>
          </w:p>
        </w:tc>
        <w:tc>
          <w:tcPr>
            <w:tcW w:w="2551" w:type="dxa"/>
            <w:vAlign w:val="center"/>
          </w:tcPr>
          <w:p>
            <w:pPr>
              <w:pStyle w:val="16"/>
            </w:pPr>
            <w:r>
              <w:t>降低政府部门出现政务失信风险，提高信用数据归集数量与质量，规范行政处罚信用修复和信用异议申诉业务工作，推动行业开展信用监管，推动各区拓展信用惠民场景，加强诚信宣传,促进我市社会信用体系建设高质量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各区受评单位对于日常问询应答情况满意度（对应绩效目标2）</w:t>
            </w:r>
          </w:p>
        </w:tc>
        <w:tc>
          <w:tcPr>
            <w:tcW w:w="3430" w:type="dxa"/>
            <w:vAlign w:val="center"/>
          </w:tcPr>
          <w:p>
            <w:pPr>
              <w:pStyle w:val="16"/>
            </w:pPr>
            <w:r>
              <w:t>咨询回复满意度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 w:name="_Toc157759607"/>
      <w:r>
        <w:rPr>
          <w:rFonts w:hint="eastAsia" w:ascii="方正仿宋_GBK" w:hAnsi="方正仿宋_GBK" w:eastAsia="方正仿宋_GBK" w:cs="方正仿宋_GBK"/>
          <w:sz w:val="28"/>
          <w:lang w:val="en-US" w:eastAsia="zh-CN"/>
        </w:rPr>
        <w:t>3</w:t>
      </w:r>
      <w:r>
        <w:rPr>
          <w:rFonts w:ascii="方正仿宋_GBK" w:hAnsi="方正仿宋_GBK" w:eastAsia="方正仿宋_GBK" w:cs="方正仿宋_GBK"/>
          <w:sz w:val="28"/>
        </w:rPr>
        <w:t>.2024年服务业专项资金评审及项目验收项目绩效目标表</w:t>
      </w:r>
      <w:bookmarkEnd w:id="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2024年服务业专项资金评审及项目验收项目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99.80</w:t>
            </w:r>
          </w:p>
        </w:tc>
        <w:tc>
          <w:tcPr>
            <w:tcW w:w="1587" w:type="dxa"/>
            <w:vAlign w:val="center"/>
          </w:tcPr>
          <w:p>
            <w:pPr>
              <w:pStyle w:val="17"/>
            </w:pPr>
            <w:r>
              <w:t>其中：财政    资金</w:t>
            </w:r>
          </w:p>
        </w:tc>
        <w:tc>
          <w:tcPr>
            <w:tcW w:w="1843" w:type="dxa"/>
            <w:vAlign w:val="center"/>
          </w:tcPr>
          <w:p>
            <w:pPr>
              <w:pStyle w:val="16"/>
            </w:pPr>
            <w:r>
              <w:t>99.80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开展天津市服务业专项资金评审及验收项目。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1.开展天津市服务业专项资金评审及验收项目。</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评审验收项目个数</w:t>
            </w:r>
          </w:p>
        </w:tc>
        <w:tc>
          <w:tcPr>
            <w:tcW w:w="3430" w:type="dxa"/>
            <w:vAlign w:val="center"/>
          </w:tcPr>
          <w:p>
            <w:pPr>
              <w:pStyle w:val="16"/>
            </w:pPr>
            <w:r>
              <w:t>评审验收项目个数</w:t>
            </w:r>
          </w:p>
        </w:tc>
        <w:tc>
          <w:tcPr>
            <w:tcW w:w="2551" w:type="dxa"/>
            <w:vAlign w:val="center"/>
          </w:tcPr>
          <w:p>
            <w:pPr>
              <w:pStyle w:val="16"/>
            </w:pPr>
            <w:r>
              <w:t>≥30个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补贴资金发放准确率</w:t>
            </w:r>
          </w:p>
        </w:tc>
        <w:tc>
          <w:tcPr>
            <w:tcW w:w="3430" w:type="dxa"/>
            <w:vAlign w:val="center"/>
          </w:tcPr>
          <w:p>
            <w:pPr>
              <w:pStyle w:val="16"/>
            </w:pPr>
            <w:r>
              <w:t>补贴资金发放准确率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补贴发放完成时间</w:t>
            </w:r>
          </w:p>
        </w:tc>
        <w:tc>
          <w:tcPr>
            <w:tcW w:w="3430" w:type="dxa"/>
            <w:vAlign w:val="center"/>
          </w:tcPr>
          <w:p>
            <w:pPr>
              <w:pStyle w:val="16"/>
            </w:pPr>
            <w:r>
              <w:t>补贴发放完成时间</w:t>
            </w:r>
          </w:p>
        </w:tc>
        <w:tc>
          <w:tcPr>
            <w:tcW w:w="2551" w:type="dxa"/>
            <w:vAlign w:val="center"/>
          </w:tcPr>
          <w:p>
            <w:pPr>
              <w:pStyle w:val="16"/>
            </w:pPr>
            <w:r>
              <w:t>2024年11月底前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评审验收成本</w:t>
            </w:r>
          </w:p>
        </w:tc>
        <w:tc>
          <w:tcPr>
            <w:tcW w:w="3430" w:type="dxa"/>
            <w:vAlign w:val="center"/>
          </w:tcPr>
          <w:p>
            <w:pPr>
              <w:pStyle w:val="16"/>
            </w:pPr>
            <w:r>
              <w:t>评审验收成本</w:t>
            </w:r>
          </w:p>
        </w:tc>
        <w:tc>
          <w:tcPr>
            <w:tcW w:w="2551" w:type="dxa"/>
            <w:vAlign w:val="center"/>
          </w:tcPr>
          <w:p>
            <w:pPr>
              <w:pStyle w:val="16"/>
            </w:pPr>
            <w:r>
              <w:t>≤99.8万元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规上服务业15个重点行业营收增速</w:t>
            </w:r>
          </w:p>
        </w:tc>
        <w:tc>
          <w:tcPr>
            <w:tcW w:w="3430" w:type="dxa"/>
            <w:vAlign w:val="center"/>
          </w:tcPr>
          <w:p>
            <w:pPr>
              <w:pStyle w:val="16"/>
            </w:pPr>
            <w:r>
              <w:t>规上服务业15个重点行业营收增速</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补助企业满意度</w:t>
            </w:r>
          </w:p>
        </w:tc>
        <w:tc>
          <w:tcPr>
            <w:tcW w:w="3430" w:type="dxa"/>
            <w:vAlign w:val="center"/>
          </w:tcPr>
          <w:p>
            <w:pPr>
              <w:pStyle w:val="16"/>
            </w:pPr>
            <w:r>
              <w:t>服务企业的满意度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 w:name="_Toc157759608"/>
      <w:r>
        <w:rPr>
          <w:rFonts w:hint="eastAsia" w:ascii="方正仿宋_GBK" w:hAnsi="方正仿宋_GBK" w:eastAsia="方正仿宋_GBK" w:cs="方正仿宋_GBK"/>
          <w:sz w:val="28"/>
          <w:lang w:val="en-US" w:eastAsia="zh-CN"/>
        </w:rPr>
        <w:t>4</w:t>
      </w:r>
      <w:r>
        <w:rPr>
          <w:rFonts w:ascii="方正仿宋_GBK" w:hAnsi="方正仿宋_GBK" w:eastAsia="方正仿宋_GBK" w:cs="方正仿宋_GBK"/>
          <w:sz w:val="28"/>
        </w:rPr>
        <w:t>.2024年规划编制评估评审等重点工作经费绩效目标表</w:t>
      </w:r>
      <w:bookmarkEnd w:id="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2024年规划编制评估评审等重点工作经费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400.00</w:t>
            </w:r>
          </w:p>
        </w:tc>
        <w:tc>
          <w:tcPr>
            <w:tcW w:w="1587" w:type="dxa"/>
            <w:vAlign w:val="center"/>
          </w:tcPr>
          <w:p>
            <w:pPr>
              <w:pStyle w:val="17"/>
            </w:pPr>
            <w:r>
              <w:t>其中：财政    资金</w:t>
            </w:r>
          </w:p>
        </w:tc>
        <w:tc>
          <w:tcPr>
            <w:tcW w:w="1843" w:type="dxa"/>
            <w:vAlign w:val="center"/>
          </w:tcPr>
          <w:p>
            <w:pPr>
              <w:pStyle w:val="16"/>
            </w:pPr>
            <w:r>
              <w:t>400.00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1.开展“十五五”规划前期重大课题研究，为研究起草“十五五”规划《基本思路》、“十五五”规划《纲要》提供有力支撑。2.有效提高调研成果质量和成果转化，使课题研究工作与中心工作和决策需要紧密结合起来，进一步提高执政能力和领导水平，更好科学决策。3.统筹谋划全市石化化工产业高质量发展、编制产业发展规划，优化滨海新区和其他区各类化工园区空间布局，推进城镇人口密集区危险化学品生产企业搬迁改造，落实京津冀协同发展规划纲要要求，建设世界一流石化产业基地。同时对石化产业相关实施方案及政策措施开展社会稳定性评价工作，防范社会重大风险发生。4.开展油气管道监督检查服务、举报问题及隐患治理、宣传教育、法律支持政策研究、油气管道保护能力建设等工作，提供相应的专业技术支撑，提升我市的管道保护能力和工作标准。    5.完成其他重点工作课题研究、规划编制、评估评审等。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1.开展“十五五”规划前期重大课题研究，为研究起草“十五五”规划《基本思路》、“十五五”规划《纲要》提供有力支撑。</w:t>
            </w:r>
          </w:p>
          <w:p>
            <w:pPr>
              <w:pStyle w:val="16"/>
            </w:pPr>
            <w:r>
              <w:t>2.有效提高调研成果质量和成果转化，使课题研究工作与中心工作和决策需要紧密结合起来，进一步提高执政能力和领导水平，更好科学决策。</w:t>
            </w:r>
          </w:p>
          <w:p>
            <w:pPr>
              <w:pStyle w:val="16"/>
            </w:pPr>
            <w:r>
              <w:t>3.统筹谋划全市石化化工产业高质量发展、编制产业发展规划，优化滨海新区和其他区各类化工园区空间布局，推进城镇人口密集区危险化学品生产企业搬迁改造，落实京津冀协同发展规划纲要要求，建设世界一流石化产业基地。同时对石化产业相关实施方案及政策措施开展社会稳定性评价工作，防范社会重大风险发生。</w:t>
            </w:r>
          </w:p>
          <w:p>
            <w:pPr>
              <w:pStyle w:val="16"/>
            </w:pPr>
            <w:r>
              <w:t xml:space="preserve">4.开展油气管道监督检查服务、举报问题及隐患治理、宣传教育、法律支持政策研究、油气管道保护能力建设等工作，提供相应的专业技术支撑，提升我市的管道保护能力和工作标准。    </w:t>
            </w:r>
          </w:p>
          <w:p>
            <w:pPr>
              <w:pStyle w:val="16"/>
            </w:pPr>
          </w:p>
          <w:p>
            <w:pPr>
              <w:pStyle w:val="16"/>
            </w:pPr>
            <w:r>
              <w:t>5.完成其他重点工作课题研究、规划编制、评估评审等。</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“十五五”规划等课题研究数量</w:t>
            </w:r>
          </w:p>
        </w:tc>
        <w:tc>
          <w:tcPr>
            <w:tcW w:w="3430" w:type="dxa"/>
            <w:vAlign w:val="center"/>
          </w:tcPr>
          <w:p>
            <w:pPr>
              <w:pStyle w:val="16"/>
            </w:pPr>
            <w:r>
              <w:t>“十五五”规划等课题研究数量</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市发改委经济发展研究课题数量</w:t>
            </w:r>
          </w:p>
        </w:tc>
        <w:tc>
          <w:tcPr>
            <w:tcW w:w="3430" w:type="dxa"/>
            <w:vAlign w:val="center"/>
          </w:tcPr>
          <w:p>
            <w:pPr>
              <w:pStyle w:val="16"/>
            </w:pPr>
            <w:r>
              <w:t>市发改委经济发展研究课题数量</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管道保护课题调研服务</w:t>
            </w:r>
          </w:p>
        </w:tc>
        <w:tc>
          <w:tcPr>
            <w:tcW w:w="3430" w:type="dxa"/>
            <w:vAlign w:val="center"/>
          </w:tcPr>
          <w:p>
            <w:pPr>
              <w:pStyle w:val="16"/>
            </w:pPr>
            <w:r>
              <w:t>管道保护课题调研服务</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项目资金</w:t>
            </w:r>
          </w:p>
        </w:tc>
        <w:tc>
          <w:tcPr>
            <w:tcW w:w="3430" w:type="dxa"/>
            <w:vAlign w:val="center"/>
          </w:tcPr>
          <w:p>
            <w:pPr>
              <w:pStyle w:val="16"/>
            </w:pPr>
            <w:r>
              <w:t>项目资金</w:t>
            </w:r>
          </w:p>
        </w:tc>
        <w:tc>
          <w:tcPr>
            <w:tcW w:w="2551" w:type="dxa"/>
            <w:vAlign w:val="center"/>
          </w:tcPr>
          <w:p>
            <w:pPr>
              <w:pStyle w:val="16"/>
            </w:pPr>
            <w:r>
              <w:t>≤400万元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规划课题编制指导发展改革事业</w:t>
            </w:r>
          </w:p>
        </w:tc>
        <w:tc>
          <w:tcPr>
            <w:tcW w:w="3430" w:type="dxa"/>
            <w:vAlign w:val="center"/>
          </w:tcPr>
          <w:p>
            <w:pPr>
              <w:pStyle w:val="16"/>
            </w:pPr>
            <w:r>
              <w:t>规划课题编制指导发展改革事业</w:t>
            </w:r>
          </w:p>
        </w:tc>
        <w:tc>
          <w:tcPr>
            <w:tcW w:w="2551" w:type="dxa"/>
            <w:vAlign w:val="center"/>
          </w:tcPr>
          <w:p>
            <w:pPr>
              <w:pStyle w:val="16"/>
            </w:pPr>
            <w:r>
              <w:t>指导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为研究起草“十五五”规划《基本思路》、“十五五”规划《纲要》提供有力支撑</w:t>
            </w:r>
          </w:p>
        </w:tc>
        <w:tc>
          <w:tcPr>
            <w:tcW w:w="3430" w:type="dxa"/>
            <w:vAlign w:val="center"/>
          </w:tcPr>
          <w:p>
            <w:pPr>
              <w:pStyle w:val="16"/>
            </w:pPr>
            <w:r>
              <w:t>为研究起草“十五五”规划《基本思路》、“十五五”规划《纲要》提供有有力支撑</w:t>
            </w:r>
          </w:p>
        </w:tc>
        <w:tc>
          <w:tcPr>
            <w:tcW w:w="2551" w:type="dxa"/>
            <w:vAlign w:val="center"/>
          </w:tcPr>
          <w:p>
            <w:pPr>
              <w:pStyle w:val="16"/>
            </w:pPr>
            <w:r>
              <w:t>提供支撑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服务好重点经济工作，充分发挥智库作用</w:t>
            </w:r>
          </w:p>
        </w:tc>
        <w:tc>
          <w:tcPr>
            <w:tcW w:w="3430" w:type="dxa"/>
            <w:vAlign w:val="center"/>
          </w:tcPr>
          <w:p>
            <w:pPr>
              <w:pStyle w:val="16"/>
            </w:pPr>
            <w:r>
              <w:t>发挥智库作用</w:t>
            </w:r>
          </w:p>
        </w:tc>
        <w:tc>
          <w:tcPr>
            <w:tcW w:w="2551" w:type="dxa"/>
            <w:vAlign w:val="center"/>
          </w:tcPr>
          <w:p>
            <w:pPr>
              <w:pStyle w:val="16"/>
            </w:pPr>
            <w:r>
              <w:t>服务好重点经济工作，充分发挥智库作用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资金使用成效</w:t>
            </w:r>
          </w:p>
        </w:tc>
        <w:tc>
          <w:tcPr>
            <w:tcW w:w="3430" w:type="dxa"/>
            <w:vAlign w:val="center"/>
          </w:tcPr>
          <w:p>
            <w:pPr>
              <w:pStyle w:val="16"/>
            </w:pPr>
            <w:r>
              <w:t>资金使用成效</w:t>
            </w:r>
          </w:p>
        </w:tc>
        <w:tc>
          <w:tcPr>
            <w:tcW w:w="2551" w:type="dxa"/>
            <w:vAlign w:val="center"/>
          </w:tcPr>
          <w:p>
            <w:pPr>
              <w:pStyle w:val="16"/>
            </w:pPr>
            <w:r>
              <w:t>长效显著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油气长输管道外部安全</w:t>
            </w:r>
          </w:p>
        </w:tc>
        <w:tc>
          <w:tcPr>
            <w:tcW w:w="3430" w:type="dxa"/>
            <w:vAlign w:val="center"/>
          </w:tcPr>
          <w:p>
            <w:pPr>
              <w:pStyle w:val="16"/>
            </w:pPr>
            <w:r>
              <w:t>油气长输管道外部安全</w:t>
            </w:r>
          </w:p>
        </w:tc>
        <w:tc>
          <w:tcPr>
            <w:tcW w:w="2551" w:type="dxa"/>
            <w:vAlign w:val="center"/>
          </w:tcPr>
          <w:p>
            <w:pPr>
              <w:pStyle w:val="16"/>
            </w:pPr>
            <w:r>
              <w:t>巩固提升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社会影响力</w:t>
            </w:r>
          </w:p>
        </w:tc>
        <w:tc>
          <w:tcPr>
            <w:tcW w:w="3430" w:type="dxa"/>
            <w:vAlign w:val="center"/>
          </w:tcPr>
          <w:p>
            <w:pPr>
              <w:pStyle w:val="16"/>
            </w:pPr>
            <w:r>
              <w:t>社会影响力</w:t>
            </w:r>
          </w:p>
        </w:tc>
        <w:tc>
          <w:tcPr>
            <w:tcW w:w="2551" w:type="dxa"/>
            <w:vAlign w:val="center"/>
          </w:tcPr>
          <w:p>
            <w:pPr>
              <w:pStyle w:val="16"/>
            </w:pPr>
            <w:r>
              <w:t>涉及行业广泛，具有较大社会影响力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服务对象满意程度</w:t>
            </w:r>
          </w:p>
        </w:tc>
        <w:tc>
          <w:tcPr>
            <w:tcW w:w="3430" w:type="dxa"/>
            <w:vAlign w:val="center"/>
          </w:tcPr>
          <w:p>
            <w:pPr>
              <w:pStyle w:val="16"/>
            </w:pPr>
            <w:r>
              <w:t>服务对象满意程度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jc w:val="center"/>
      </w:pPr>
    </w:p>
    <w:p>
      <w:pPr>
        <w:ind w:firstLine="560"/>
        <w:outlineLvl w:val="3"/>
      </w:pPr>
      <w:bookmarkStart w:id="4" w:name="_Toc157759610"/>
      <w:r>
        <w:rPr>
          <w:rFonts w:hint="eastAsia" w:ascii="方正仿宋_GBK" w:hAnsi="方正仿宋_GBK" w:eastAsia="方正仿宋_GBK" w:cs="方正仿宋_GBK"/>
          <w:sz w:val="28"/>
          <w:lang w:val="en-US" w:eastAsia="zh-CN"/>
        </w:rPr>
        <w:t>5</w:t>
      </w:r>
      <w:r>
        <w:rPr>
          <w:rFonts w:ascii="方正仿宋_GBK" w:hAnsi="方正仿宋_GBK" w:eastAsia="方正仿宋_GBK" w:cs="方正仿宋_GBK"/>
          <w:sz w:val="28"/>
        </w:rPr>
        <w:t>.2024年节能降碳专项资金绩效目标表</w:t>
      </w:r>
      <w:bookmarkEnd w:id="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2024年节能降碳专项资金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240.00</w:t>
            </w:r>
          </w:p>
        </w:tc>
        <w:tc>
          <w:tcPr>
            <w:tcW w:w="1587" w:type="dxa"/>
            <w:vAlign w:val="center"/>
          </w:tcPr>
          <w:p>
            <w:pPr>
              <w:pStyle w:val="17"/>
            </w:pPr>
            <w:r>
              <w:t>其中：财政    资金</w:t>
            </w:r>
          </w:p>
        </w:tc>
        <w:tc>
          <w:tcPr>
            <w:tcW w:w="1843" w:type="dxa"/>
            <w:vAlign w:val="center"/>
          </w:tcPr>
          <w:p>
            <w:pPr>
              <w:pStyle w:val="16"/>
            </w:pPr>
            <w:r>
              <w:t>240.00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按照《节约能源法》《天津市节约能源条例》和国家对省级政府节能工作要求，支持节能降碳重点工程，购买专业技术服务。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1.按照《节约能源法》《天津市节约能源条例》和国家对省级政府节能工作要求，支持节能降碳重点工程，购买专业技术服务。</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固定资产投资项目节能报告评审数</w:t>
            </w:r>
          </w:p>
        </w:tc>
        <w:tc>
          <w:tcPr>
            <w:tcW w:w="3430" w:type="dxa"/>
            <w:vAlign w:val="center"/>
          </w:tcPr>
          <w:p>
            <w:pPr>
              <w:pStyle w:val="16"/>
            </w:pPr>
            <w:r>
              <w:t>固定资产投资项目节能报告评审数</w:t>
            </w:r>
          </w:p>
        </w:tc>
        <w:tc>
          <w:tcPr>
            <w:tcW w:w="2551" w:type="dxa"/>
            <w:vAlign w:val="center"/>
          </w:tcPr>
          <w:p>
            <w:pPr>
              <w:pStyle w:val="16"/>
            </w:pPr>
            <w:r>
              <w:t>30个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能源利用状况报告审核企业数</w:t>
            </w:r>
          </w:p>
        </w:tc>
        <w:tc>
          <w:tcPr>
            <w:tcW w:w="3430" w:type="dxa"/>
            <w:vAlign w:val="center"/>
          </w:tcPr>
          <w:p>
            <w:pPr>
              <w:pStyle w:val="16"/>
            </w:pPr>
            <w:r>
              <w:t>能源利用状况报告审核企业数</w:t>
            </w:r>
          </w:p>
        </w:tc>
        <w:tc>
          <w:tcPr>
            <w:tcW w:w="2551" w:type="dxa"/>
            <w:vAlign w:val="center"/>
          </w:tcPr>
          <w:p>
            <w:pPr>
              <w:pStyle w:val="16"/>
            </w:pPr>
            <w:r>
              <w:t>≥300家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清洁生产审核评估或验收的绩效核查企业数</w:t>
            </w:r>
          </w:p>
        </w:tc>
        <w:tc>
          <w:tcPr>
            <w:tcW w:w="3430" w:type="dxa"/>
            <w:vAlign w:val="center"/>
          </w:tcPr>
          <w:p>
            <w:pPr>
              <w:pStyle w:val="16"/>
            </w:pPr>
            <w:r>
              <w:t>清洁生产审核评估或验收的绩效核查企业数</w:t>
            </w:r>
          </w:p>
        </w:tc>
        <w:tc>
          <w:tcPr>
            <w:tcW w:w="2551" w:type="dxa"/>
            <w:vAlign w:val="center"/>
          </w:tcPr>
          <w:p>
            <w:pPr>
              <w:pStyle w:val="16"/>
            </w:pPr>
            <w:r>
              <w:t>≥20家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能源管理体系效果评价企业数</w:t>
            </w:r>
          </w:p>
        </w:tc>
        <w:tc>
          <w:tcPr>
            <w:tcW w:w="3430" w:type="dxa"/>
            <w:vAlign w:val="center"/>
          </w:tcPr>
          <w:p>
            <w:pPr>
              <w:pStyle w:val="16"/>
            </w:pPr>
            <w:r>
              <w:t>能源管理体系效果评价企业数</w:t>
            </w:r>
          </w:p>
        </w:tc>
        <w:tc>
          <w:tcPr>
            <w:tcW w:w="2551" w:type="dxa"/>
            <w:vAlign w:val="center"/>
          </w:tcPr>
          <w:p>
            <w:pPr>
              <w:pStyle w:val="16"/>
            </w:pPr>
            <w:r>
              <w:t>30个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园区循环化改造报告评审率</w:t>
            </w:r>
          </w:p>
        </w:tc>
        <w:tc>
          <w:tcPr>
            <w:tcW w:w="3430" w:type="dxa"/>
            <w:vAlign w:val="center"/>
          </w:tcPr>
          <w:p>
            <w:pPr>
              <w:pStyle w:val="16"/>
            </w:pPr>
            <w:r>
              <w:t>园区循环化改造报告评审率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能源利用状况报告填报率</w:t>
            </w:r>
          </w:p>
        </w:tc>
        <w:tc>
          <w:tcPr>
            <w:tcW w:w="3430" w:type="dxa"/>
            <w:vAlign w:val="center"/>
          </w:tcPr>
          <w:p>
            <w:pPr>
              <w:pStyle w:val="16"/>
            </w:pPr>
            <w:r>
              <w:t>能源利用状况报告填报率</w:t>
            </w:r>
          </w:p>
        </w:tc>
        <w:tc>
          <w:tcPr>
            <w:tcW w:w="2551" w:type="dxa"/>
            <w:vAlign w:val="center"/>
          </w:tcPr>
          <w:p>
            <w:pPr>
              <w:pStyle w:val="16"/>
            </w:pPr>
            <w: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2024年底前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能源利用状况报告审核</w:t>
            </w:r>
          </w:p>
        </w:tc>
        <w:tc>
          <w:tcPr>
            <w:tcW w:w="3430" w:type="dxa"/>
            <w:vAlign w:val="center"/>
          </w:tcPr>
          <w:p>
            <w:pPr>
              <w:pStyle w:val="16"/>
            </w:pPr>
            <w:r>
              <w:t>能源利用状况报告审核</w:t>
            </w:r>
          </w:p>
        </w:tc>
        <w:tc>
          <w:tcPr>
            <w:tcW w:w="2551" w:type="dxa"/>
            <w:vAlign w:val="center"/>
          </w:tcPr>
          <w:p>
            <w:pPr>
              <w:pStyle w:val="16"/>
            </w:pPr>
            <w:r>
              <w:t>0.1万元/个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能源管理体系效果评价</w:t>
            </w:r>
          </w:p>
        </w:tc>
        <w:tc>
          <w:tcPr>
            <w:tcW w:w="3430" w:type="dxa"/>
            <w:vAlign w:val="center"/>
          </w:tcPr>
          <w:p>
            <w:pPr>
              <w:pStyle w:val="16"/>
            </w:pPr>
            <w:r>
              <w:t>能源管理体系效果评价</w:t>
            </w:r>
          </w:p>
        </w:tc>
        <w:tc>
          <w:tcPr>
            <w:tcW w:w="2551" w:type="dxa"/>
            <w:vAlign w:val="center"/>
          </w:tcPr>
          <w:p>
            <w:pPr>
              <w:pStyle w:val="16"/>
            </w:pPr>
            <w:r>
              <w:t>1万/个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固定资产投资项目节能报告评审</w:t>
            </w:r>
          </w:p>
        </w:tc>
        <w:tc>
          <w:tcPr>
            <w:tcW w:w="3430" w:type="dxa"/>
            <w:vAlign w:val="center"/>
          </w:tcPr>
          <w:p>
            <w:pPr>
              <w:pStyle w:val="16"/>
            </w:pPr>
            <w:r>
              <w:t>固定资产投资项目节能报告评审</w:t>
            </w:r>
          </w:p>
        </w:tc>
        <w:tc>
          <w:tcPr>
            <w:tcW w:w="2551" w:type="dxa"/>
            <w:vAlign w:val="center"/>
          </w:tcPr>
          <w:p>
            <w:pPr>
              <w:pStyle w:val="16"/>
            </w:pPr>
            <w:r>
              <w:t>3万元/个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生态效益指标</w:t>
            </w:r>
          </w:p>
        </w:tc>
        <w:tc>
          <w:tcPr>
            <w:tcW w:w="1332" w:type="dxa"/>
            <w:vAlign w:val="center"/>
          </w:tcPr>
          <w:p>
            <w:pPr>
              <w:pStyle w:val="16"/>
            </w:pPr>
            <w:r>
              <w:t>能源利用效率</w:t>
            </w:r>
          </w:p>
        </w:tc>
        <w:tc>
          <w:tcPr>
            <w:tcW w:w="3430" w:type="dxa"/>
            <w:vAlign w:val="center"/>
          </w:tcPr>
          <w:p>
            <w:pPr>
              <w:pStyle w:val="16"/>
            </w:pPr>
            <w:r>
              <w:t>能源利用效率</w:t>
            </w:r>
          </w:p>
        </w:tc>
        <w:tc>
          <w:tcPr>
            <w:tcW w:w="2551" w:type="dxa"/>
            <w:vAlign w:val="center"/>
          </w:tcPr>
          <w:p>
            <w:pPr>
              <w:pStyle w:val="16"/>
            </w:pPr>
            <w:r>
              <w:t>持续提高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受补助单位满意度</w:t>
            </w:r>
          </w:p>
        </w:tc>
        <w:tc>
          <w:tcPr>
            <w:tcW w:w="3430" w:type="dxa"/>
            <w:vAlign w:val="center"/>
          </w:tcPr>
          <w:p>
            <w:pPr>
              <w:pStyle w:val="16"/>
            </w:pPr>
            <w:r>
              <w:t>受补助单位满意度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5" w:name="_Toc157759611"/>
      <w:r>
        <w:rPr>
          <w:rFonts w:hint="eastAsia" w:ascii="方正仿宋_GBK" w:hAnsi="方正仿宋_GBK" w:eastAsia="方正仿宋_GBK" w:cs="方正仿宋_GBK"/>
          <w:sz w:val="28"/>
          <w:lang w:val="en-US" w:eastAsia="zh-CN"/>
        </w:rPr>
        <w:t>6</w:t>
      </w:r>
      <w:r>
        <w:rPr>
          <w:rFonts w:ascii="方正仿宋_GBK" w:hAnsi="方正仿宋_GBK" w:eastAsia="方正仿宋_GBK" w:cs="方正仿宋_GBK"/>
          <w:sz w:val="28"/>
        </w:rPr>
        <w:t>.2024年京津冀协同发展工作经费绩效目标表</w:t>
      </w:r>
      <w:bookmarkEnd w:id="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2024年京津冀协同发展工作经费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644.00</w:t>
            </w:r>
          </w:p>
        </w:tc>
        <w:tc>
          <w:tcPr>
            <w:tcW w:w="1587" w:type="dxa"/>
            <w:vAlign w:val="center"/>
          </w:tcPr>
          <w:p>
            <w:pPr>
              <w:pStyle w:val="17"/>
            </w:pPr>
            <w:r>
              <w:t>其中：财政    资金</w:t>
            </w:r>
          </w:p>
        </w:tc>
        <w:tc>
          <w:tcPr>
            <w:tcW w:w="1843" w:type="dxa"/>
            <w:vAlign w:val="center"/>
          </w:tcPr>
          <w:p>
            <w:pPr>
              <w:pStyle w:val="16"/>
            </w:pPr>
            <w:r>
              <w:t>644.00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1.积极抢抓承接北京非首都功能疏解重要机遇，加大考前招商力度，配强在京驻点招商队伍，切实增强市场意识和项目谋划能力，在推动京津冀协同发展走深走实行动中早立新功。2.为高质量承接北京非首都功能疏解，高效有序统筹市有关部门和各区主动对接、深度融入、精准服务北京优质资源，科学谋划工作推进路径和信息资源储备，并积极开展北京非首都功能疏解对接洽谈活动，推动承接北京非首都功能疏解取得更多成果。3.学习贯彻习近平总书记关于加强协同创新和产业协作有关精神，深入落实京津冀党政主要领导座谈会安排部署，拟围绕提升科技成果区域内转化效率和比重。加快构建协同创新“一张网”等开展课题研究，为推动京津冀产业协同发展走深走实提供智力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1.积极抢抓承接北京非首都功能疏解重要机遇，加大考前招商力度，配强在京驻点招商队伍，切实增强市场意识和项目谋划能力，在推动京津冀协同发展走深走实行动中早立新功。</w:t>
            </w:r>
          </w:p>
          <w:p>
            <w:pPr>
              <w:pStyle w:val="16"/>
            </w:pPr>
            <w:r>
              <w:t>2.为高质量承接北京非首都功能疏解，高效有序统筹市有关部门和各区主动对接、深度融入、精准服务北京优质资源，科学谋划工作推进路径和信息资源储备，并积极开展北京非首都功能疏解对接洽谈活动，推动承接北京非首都功能疏解取得更多成果。</w:t>
            </w:r>
          </w:p>
          <w:p>
            <w:pPr>
              <w:pStyle w:val="16"/>
            </w:pPr>
            <w:r>
              <w:t>3.学习贯彻习近平总书记关于加强协同创新和产业协作有关精神，深入落实京津冀党政主要领导座谈会安排部署，拟围绕提升科技成果区域内转化效率和比重。加快构建协同创新“一张网”等开展课题研究，为推动京津冀产业协同发展走深走实提供智力保障。</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派驻北京工作人数</w:t>
            </w:r>
          </w:p>
        </w:tc>
        <w:tc>
          <w:tcPr>
            <w:tcW w:w="3430" w:type="dxa"/>
            <w:vAlign w:val="center"/>
          </w:tcPr>
          <w:p>
            <w:pPr>
              <w:pStyle w:val="16"/>
            </w:pPr>
            <w:r>
              <w:t>驻京津冀联合办、协同一处常驻北京人数</w:t>
            </w:r>
          </w:p>
        </w:tc>
        <w:tc>
          <w:tcPr>
            <w:tcW w:w="2551" w:type="dxa"/>
            <w:vAlign w:val="center"/>
          </w:tcPr>
          <w:p>
            <w:pPr>
              <w:pStyle w:val="16"/>
            </w:pPr>
            <w:r>
              <w:t>≥12人次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 xml:space="preserve"> 组织举办京津冀协同发展会议活动</w:t>
            </w:r>
          </w:p>
        </w:tc>
        <w:tc>
          <w:tcPr>
            <w:tcW w:w="3430" w:type="dxa"/>
            <w:vAlign w:val="center"/>
          </w:tcPr>
          <w:p>
            <w:pPr>
              <w:pStyle w:val="16"/>
            </w:pPr>
            <w:r>
              <w:t>成功举办京津冀党政主要领导座谈会、招商对接活动等</w:t>
            </w:r>
          </w:p>
        </w:tc>
        <w:tc>
          <w:tcPr>
            <w:tcW w:w="2551" w:type="dxa"/>
            <w:vAlign w:val="center"/>
          </w:tcPr>
          <w:p>
            <w:pPr>
              <w:pStyle w:val="16"/>
            </w:pPr>
            <w:r>
              <w:t>≥5次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完成课题研究数量</w:t>
            </w:r>
          </w:p>
        </w:tc>
        <w:tc>
          <w:tcPr>
            <w:tcW w:w="3430" w:type="dxa"/>
            <w:vAlign w:val="center"/>
          </w:tcPr>
          <w:p>
            <w:pPr>
              <w:pStyle w:val="16"/>
            </w:pPr>
            <w:r>
              <w:t>形成课题研究报告</w:t>
            </w:r>
          </w:p>
        </w:tc>
        <w:tc>
          <w:tcPr>
            <w:tcW w:w="2551" w:type="dxa"/>
            <w:vAlign w:val="center"/>
          </w:tcPr>
          <w:p>
            <w:pPr>
              <w:pStyle w:val="16"/>
            </w:pPr>
            <w:r>
              <w:t>≥3份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专班正常运行率</w:t>
            </w:r>
          </w:p>
        </w:tc>
        <w:tc>
          <w:tcPr>
            <w:tcW w:w="3430" w:type="dxa"/>
            <w:vAlign w:val="center"/>
          </w:tcPr>
          <w:p>
            <w:pPr>
              <w:pStyle w:val="16"/>
            </w:pPr>
            <w:r>
              <w:t>专班正常运行率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活动完成率</w:t>
            </w:r>
          </w:p>
        </w:tc>
        <w:tc>
          <w:tcPr>
            <w:tcW w:w="3430" w:type="dxa"/>
            <w:vAlign w:val="center"/>
          </w:tcPr>
          <w:p>
            <w:pPr>
              <w:pStyle w:val="16"/>
            </w:pPr>
            <w:r>
              <w:t>活动完成率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课题结题率</w:t>
            </w:r>
          </w:p>
        </w:tc>
        <w:tc>
          <w:tcPr>
            <w:tcW w:w="3430" w:type="dxa"/>
            <w:vAlign w:val="center"/>
          </w:tcPr>
          <w:p>
            <w:pPr>
              <w:pStyle w:val="16"/>
            </w:pPr>
            <w:r>
              <w:t>课题结题率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保障专班运行时间</w:t>
            </w:r>
          </w:p>
        </w:tc>
        <w:tc>
          <w:tcPr>
            <w:tcW w:w="3430" w:type="dxa"/>
            <w:vAlign w:val="center"/>
          </w:tcPr>
          <w:p>
            <w:pPr>
              <w:pStyle w:val="16"/>
            </w:pPr>
            <w:r>
              <w:t>保障专班运行时间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活动如期开展率</w:t>
            </w:r>
          </w:p>
        </w:tc>
        <w:tc>
          <w:tcPr>
            <w:tcW w:w="3430" w:type="dxa"/>
            <w:vAlign w:val="center"/>
          </w:tcPr>
          <w:p>
            <w:pPr>
              <w:pStyle w:val="16"/>
            </w:pPr>
            <w:r>
              <w:t>结合全年工作安排适时开展</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课题按时结题率</w:t>
            </w:r>
          </w:p>
        </w:tc>
        <w:tc>
          <w:tcPr>
            <w:tcW w:w="3430" w:type="dxa"/>
            <w:vAlign w:val="center"/>
          </w:tcPr>
          <w:p>
            <w:pPr>
              <w:pStyle w:val="16"/>
            </w:pPr>
            <w:r>
              <w:t>结合实际工作要求按时结题</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工作经费</w:t>
            </w:r>
          </w:p>
        </w:tc>
        <w:tc>
          <w:tcPr>
            <w:tcW w:w="3430" w:type="dxa"/>
            <w:vAlign w:val="center"/>
          </w:tcPr>
          <w:p>
            <w:pPr>
              <w:pStyle w:val="16"/>
            </w:pPr>
            <w:r>
              <w:t>工作运行经费</w:t>
            </w:r>
          </w:p>
        </w:tc>
        <w:tc>
          <w:tcPr>
            <w:tcW w:w="2551" w:type="dxa"/>
            <w:vAlign w:val="center"/>
          </w:tcPr>
          <w:p>
            <w:pPr>
              <w:pStyle w:val="16"/>
            </w:pPr>
            <w:r>
              <w:t>≤644万元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保障在京专班人员正常开展工作</w:t>
            </w:r>
          </w:p>
        </w:tc>
        <w:tc>
          <w:tcPr>
            <w:tcW w:w="3430" w:type="dxa"/>
            <w:vAlign w:val="center"/>
          </w:tcPr>
          <w:p>
            <w:pPr>
              <w:pStyle w:val="16"/>
            </w:pPr>
            <w:r>
              <w:t>保障在京专班人员正常运转</w:t>
            </w:r>
          </w:p>
        </w:tc>
        <w:tc>
          <w:tcPr>
            <w:tcW w:w="2551" w:type="dxa"/>
            <w:vAlign w:val="center"/>
          </w:tcPr>
          <w:p>
            <w:pPr>
              <w:pStyle w:val="16"/>
            </w:pPr>
            <w:r>
              <w:t>有效保障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研究报告成果利用率</w:t>
            </w:r>
          </w:p>
        </w:tc>
        <w:tc>
          <w:tcPr>
            <w:tcW w:w="3430" w:type="dxa"/>
            <w:vAlign w:val="center"/>
          </w:tcPr>
          <w:p>
            <w:pPr>
              <w:pStyle w:val="16"/>
            </w:pPr>
            <w:r>
              <w:t>形成工作通报或工作信息</w:t>
            </w:r>
          </w:p>
        </w:tc>
        <w:tc>
          <w:tcPr>
            <w:tcW w:w="2551" w:type="dxa"/>
            <w:vAlign w:val="center"/>
          </w:tcPr>
          <w:p>
            <w:pPr>
              <w:pStyle w:val="16"/>
            </w:pPr>
            <w:r>
              <w:t>≥2次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争取北京资源来津机构数量</w:t>
            </w:r>
          </w:p>
        </w:tc>
        <w:tc>
          <w:tcPr>
            <w:tcW w:w="3430" w:type="dxa"/>
            <w:vAlign w:val="center"/>
          </w:tcPr>
          <w:p>
            <w:pPr>
              <w:pStyle w:val="16"/>
            </w:pPr>
            <w:r>
              <w:t>争取北京资源来津机构数量</w:t>
            </w:r>
          </w:p>
        </w:tc>
        <w:tc>
          <w:tcPr>
            <w:tcW w:w="2551" w:type="dxa"/>
            <w:vAlign w:val="center"/>
          </w:tcPr>
          <w:p>
            <w:pPr>
              <w:pStyle w:val="16"/>
            </w:pPr>
            <w:r>
              <w:t>≥10家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经济效益指标</w:t>
            </w:r>
          </w:p>
        </w:tc>
        <w:tc>
          <w:tcPr>
            <w:tcW w:w="1332" w:type="dxa"/>
            <w:vAlign w:val="center"/>
          </w:tcPr>
          <w:p>
            <w:pPr>
              <w:pStyle w:val="16"/>
            </w:pPr>
            <w:r>
              <w:t>争取项目资金规模</w:t>
            </w:r>
          </w:p>
        </w:tc>
        <w:tc>
          <w:tcPr>
            <w:tcW w:w="3430" w:type="dxa"/>
            <w:vAlign w:val="center"/>
          </w:tcPr>
          <w:p>
            <w:pPr>
              <w:pStyle w:val="16"/>
            </w:pPr>
            <w:r>
              <w:t>争取项目资金规模</w:t>
            </w:r>
          </w:p>
        </w:tc>
        <w:tc>
          <w:tcPr>
            <w:tcW w:w="2551" w:type="dxa"/>
            <w:vAlign w:val="center"/>
          </w:tcPr>
          <w:p>
            <w:pPr>
              <w:pStyle w:val="16"/>
            </w:pPr>
            <w:r>
              <w:t>≥100亿元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专班人员满意率</w:t>
            </w:r>
          </w:p>
        </w:tc>
        <w:tc>
          <w:tcPr>
            <w:tcW w:w="3430" w:type="dxa"/>
            <w:vAlign w:val="center"/>
          </w:tcPr>
          <w:p>
            <w:pPr>
              <w:pStyle w:val="16"/>
            </w:pPr>
            <w:r>
              <w:t>专班人员满意率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参会企业满意度</w:t>
            </w:r>
          </w:p>
        </w:tc>
        <w:tc>
          <w:tcPr>
            <w:tcW w:w="3430" w:type="dxa"/>
            <w:vAlign w:val="center"/>
          </w:tcPr>
          <w:p>
            <w:pPr>
              <w:pStyle w:val="16"/>
            </w:pPr>
            <w:r>
              <w:t>参会企业满意度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6" w:name="_Toc157759612"/>
      <w:r>
        <w:rPr>
          <w:rFonts w:hint="eastAsia" w:ascii="方正仿宋_GBK" w:hAnsi="方正仿宋_GBK" w:eastAsia="方正仿宋_GBK" w:cs="方正仿宋_GBK"/>
          <w:sz w:val="28"/>
          <w:lang w:val="en-US" w:eastAsia="zh-CN"/>
        </w:rPr>
        <w:t>7</w:t>
      </w:r>
      <w:r>
        <w:rPr>
          <w:rFonts w:ascii="方正仿宋_GBK" w:hAnsi="方正仿宋_GBK" w:eastAsia="方正仿宋_GBK" w:cs="方正仿宋_GBK"/>
          <w:sz w:val="28"/>
        </w:rPr>
        <w:t>.2024年农产品成本调查及重要商品和服务价格成本监审经费绩效目标表</w:t>
      </w:r>
      <w:bookmarkEnd w:id="6"/>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2024年农产品成本调查及重要商品和服务价格成本监审经费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60.00</w:t>
            </w:r>
          </w:p>
        </w:tc>
        <w:tc>
          <w:tcPr>
            <w:tcW w:w="1587" w:type="dxa"/>
            <w:vAlign w:val="center"/>
          </w:tcPr>
          <w:p>
            <w:pPr>
              <w:pStyle w:val="17"/>
            </w:pPr>
            <w:r>
              <w:t>其中：财政    资金</w:t>
            </w:r>
          </w:p>
        </w:tc>
        <w:tc>
          <w:tcPr>
            <w:tcW w:w="1843" w:type="dxa"/>
            <w:vAlign w:val="center"/>
          </w:tcPr>
          <w:p>
            <w:pPr>
              <w:pStyle w:val="16"/>
            </w:pPr>
            <w:r>
              <w:t>60.00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根据国家和我市价格工作需要，完成成本监审调查任务，为政府制定价格提供数据支撑。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1.根据国家和我市价格工作需要，完成成本监审调查任务，为政府制定价格提供数据支撑。</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监审调查项目数量</w:t>
            </w:r>
          </w:p>
        </w:tc>
        <w:tc>
          <w:tcPr>
            <w:tcW w:w="3430" w:type="dxa"/>
            <w:vAlign w:val="center"/>
          </w:tcPr>
          <w:p>
            <w:pPr>
              <w:pStyle w:val="16"/>
            </w:pPr>
            <w:r>
              <w:t>监审调查项目数量</w:t>
            </w:r>
          </w:p>
        </w:tc>
        <w:tc>
          <w:tcPr>
            <w:tcW w:w="2551" w:type="dxa"/>
            <w:vAlign w:val="center"/>
          </w:tcPr>
          <w:p>
            <w:pPr>
              <w:pStyle w:val="16"/>
            </w:pPr>
            <w:r>
              <w:t>≥6个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监审调查数据准确率</w:t>
            </w:r>
          </w:p>
        </w:tc>
        <w:tc>
          <w:tcPr>
            <w:tcW w:w="3430" w:type="dxa"/>
            <w:vAlign w:val="center"/>
          </w:tcPr>
          <w:p>
            <w:pPr>
              <w:pStyle w:val="16"/>
            </w:pPr>
            <w:r>
              <w:t>监审调查数据准确率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监审调查工作完成时间</w:t>
            </w:r>
          </w:p>
        </w:tc>
        <w:tc>
          <w:tcPr>
            <w:tcW w:w="3430" w:type="dxa"/>
            <w:vAlign w:val="center"/>
          </w:tcPr>
          <w:p>
            <w:pPr>
              <w:pStyle w:val="16"/>
            </w:pPr>
            <w:r>
              <w:t>监审调查工作完成时间</w:t>
            </w:r>
          </w:p>
        </w:tc>
        <w:tc>
          <w:tcPr>
            <w:tcW w:w="2551" w:type="dxa"/>
            <w:vAlign w:val="center"/>
          </w:tcPr>
          <w:p>
            <w:pPr>
              <w:pStyle w:val="16"/>
            </w:pPr>
            <w:r>
              <w:t>2024年12月31日前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监审调查经费</w:t>
            </w:r>
          </w:p>
        </w:tc>
        <w:tc>
          <w:tcPr>
            <w:tcW w:w="3430" w:type="dxa"/>
            <w:vAlign w:val="center"/>
          </w:tcPr>
          <w:p>
            <w:pPr>
              <w:pStyle w:val="16"/>
            </w:pPr>
            <w:r>
              <w:t>监审调查经费</w:t>
            </w:r>
          </w:p>
        </w:tc>
        <w:tc>
          <w:tcPr>
            <w:tcW w:w="2551" w:type="dxa"/>
            <w:vAlign w:val="center"/>
          </w:tcPr>
          <w:p>
            <w:pPr>
              <w:pStyle w:val="16"/>
            </w:pPr>
            <w:r>
              <w:t>≤60万元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服务政府定价</w:t>
            </w:r>
          </w:p>
        </w:tc>
        <w:tc>
          <w:tcPr>
            <w:tcW w:w="3430" w:type="dxa"/>
            <w:vAlign w:val="center"/>
          </w:tcPr>
          <w:p>
            <w:pPr>
              <w:pStyle w:val="16"/>
            </w:pPr>
            <w:r>
              <w:t>服务政府定价</w:t>
            </w:r>
          </w:p>
        </w:tc>
        <w:tc>
          <w:tcPr>
            <w:tcW w:w="2551" w:type="dxa"/>
            <w:vAlign w:val="center"/>
          </w:tcPr>
          <w:p>
            <w:pPr>
              <w:pStyle w:val="16"/>
            </w:pPr>
            <w:r>
              <w:t>为政府定价提供依据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相关单位满意度</w:t>
            </w:r>
          </w:p>
        </w:tc>
        <w:tc>
          <w:tcPr>
            <w:tcW w:w="3430" w:type="dxa"/>
            <w:vAlign w:val="center"/>
          </w:tcPr>
          <w:p>
            <w:pPr>
              <w:pStyle w:val="16"/>
            </w:pPr>
            <w:r>
              <w:t>相关单位满意度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7" w:name="_Toc157759613"/>
      <w:r>
        <w:rPr>
          <w:rFonts w:hint="eastAsia" w:ascii="方正仿宋_GBK" w:hAnsi="方正仿宋_GBK" w:eastAsia="方正仿宋_GBK" w:cs="方正仿宋_GBK"/>
          <w:sz w:val="28"/>
          <w:lang w:val="en-US" w:eastAsia="zh-CN"/>
        </w:rPr>
        <w:t>8</w:t>
      </w:r>
      <w:r>
        <w:rPr>
          <w:rFonts w:ascii="方正仿宋_GBK" w:hAnsi="方正仿宋_GBK" w:eastAsia="方正仿宋_GBK" w:cs="方正仿宋_GBK"/>
          <w:sz w:val="28"/>
        </w:rPr>
        <w:t>.2024年市服务业专项资金支持企业绩效目标表</w:t>
      </w:r>
      <w:bookmarkEnd w:id="7"/>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2024年市服务业专项资金支持企业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900.20</w:t>
            </w:r>
          </w:p>
        </w:tc>
        <w:tc>
          <w:tcPr>
            <w:tcW w:w="1587" w:type="dxa"/>
            <w:vAlign w:val="center"/>
          </w:tcPr>
          <w:p>
            <w:pPr>
              <w:pStyle w:val="17"/>
            </w:pPr>
            <w:r>
              <w:t>其中：财政    资金</w:t>
            </w:r>
          </w:p>
        </w:tc>
        <w:tc>
          <w:tcPr>
            <w:tcW w:w="1843" w:type="dxa"/>
            <w:vAlign w:val="center"/>
          </w:tcPr>
          <w:p>
            <w:pPr>
              <w:pStyle w:val="16"/>
            </w:pPr>
            <w:r>
              <w:t>900.20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支持服务业企业做大做强，推动全市服务业高质量发展。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1.支持服务业企业做大做强，推动全市服务业高质量发展。</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补贴项目企业个数</w:t>
            </w:r>
          </w:p>
        </w:tc>
        <w:tc>
          <w:tcPr>
            <w:tcW w:w="3430" w:type="dxa"/>
            <w:vAlign w:val="center"/>
          </w:tcPr>
          <w:p>
            <w:pPr>
              <w:pStyle w:val="16"/>
            </w:pPr>
            <w:r>
              <w:t>补贴项目企业个数</w:t>
            </w:r>
          </w:p>
        </w:tc>
        <w:tc>
          <w:tcPr>
            <w:tcW w:w="2551" w:type="dxa"/>
            <w:vAlign w:val="center"/>
          </w:tcPr>
          <w:p>
            <w:pPr>
              <w:pStyle w:val="16"/>
            </w:pPr>
            <w:r>
              <w:t>≥30个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补贴资金发放准确率</w:t>
            </w:r>
          </w:p>
        </w:tc>
        <w:tc>
          <w:tcPr>
            <w:tcW w:w="3430" w:type="dxa"/>
            <w:vAlign w:val="center"/>
          </w:tcPr>
          <w:p>
            <w:pPr>
              <w:pStyle w:val="16"/>
            </w:pPr>
            <w:r>
              <w:t>补贴资金发放准确率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补贴发放完成时间</w:t>
            </w:r>
          </w:p>
        </w:tc>
        <w:tc>
          <w:tcPr>
            <w:tcW w:w="3430" w:type="dxa"/>
            <w:vAlign w:val="center"/>
          </w:tcPr>
          <w:p>
            <w:pPr>
              <w:pStyle w:val="16"/>
            </w:pPr>
            <w:r>
              <w:t>补贴发放完成时间</w:t>
            </w:r>
          </w:p>
        </w:tc>
        <w:tc>
          <w:tcPr>
            <w:tcW w:w="2551" w:type="dxa"/>
            <w:vAlign w:val="center"/>
          </w:tcPr>
          <w:p>
            <w:pPr>
              <w:pStyle w:val="16"/>
            </w:pPr>
            <w:r>
              <w:t>2024年11月底前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补助企业金额</w:t>
            </w:r>
          </w:p>
        </w:tc>
        <w:tc>
          <w:tcPr>
            <w:tcW w:w="3430" w:type="dxa"/>
            <w:vAlign w:val="center"/>
          </w:tcPr>
          <w:p>
            <w:pPr>
              <w:pStyle w:val="16"/>
            </w:pPr>
            <w:r>
              <w:t>补助企业金额</w:t>
            </w:r>
          </w:p>
        </w:tc>
        <w:tc>
          <w:tcPr>
            <w:tcW w:w="2551" w:type="dxa"/>
            <w:vAlign w:val="center"/>
          </w:tcPr>
          <w:p>
            <w:pPr>
              <w:pStyle w:val="16"/>
            </w:pPr>
            <w:r>
              <w:t>≤900.2万元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经济效益指标</w:t>
            </w:r>
          </w:p>
        </w:tc>
        <w:tc>
          <w:tcPr>
            <w:tcW w:w="1332" w:type="dxa"/>
            <w:vAlign w:val="center"/>
          </w:tcPr>
          <w:p>
            <w:pPr>
              <w:pStyle w:val="16"/>
            </w:pPr>
            <w:r>
              <w:t>规上服务业15个重点行业营收增速</w:t>
            </w:r>
          </w:p>
        </w:tc>
        <w:tc>
          <w:tcPr>
            <w:tcW w:w="3430" w:type="dxa"/>
            <w:vAlign w:val="center"/>
          </w:tcPr>
          <w:p>
            <w:pPr>
              <w:pStyle w:val="16"/>
            </w:pPr>
            <w:r>
              <w:t>规上服务业15个重点行业营收增速</w:t>
            </w:r>
          </w:p>
        </w:tc>
        <w:tc>
          <w:tcPr>
            <w:tcW w:w="2551" w:type="dxa"/>
            <w:vAlign w:val="center"/>
          </w:tcPr>
          <w:p>
            <w:pPr>
              <w:pStyle w:val="16"/>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补助企业满意度</w:t>
            </w:r>
          </w:p>
        </w:tc>
        <w:tc>
          <w:tcPr>
            <w:tcW w:w="3430" w:type="dxa"/>
            <w:vAlign w:val="center"/>
          </w:tcPr>
          <w:p>
            <w:pPr>
              <w:pStyle w:val="16"/>
            </w:pPr>
            <w:r>
              <w:t>补助企业满意度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8" w:name="_Toc157759614"/>
      <w:r>
        <w:rPr>
          <w:rFonts w:hint="eastAsia" w:ascii="方正仿宋_GBK" w:hAnsi="方正仿宋_GBK" w:eastAsia="方正仿宋_GBK" w:cs="方正仿宋_GBK"/>
          <w:sz w:val="28"/>
          <w:lang w:val="en-US" w:eastAsia="zh-CN"/>
        </w:rPr>
        <w:t>9</w:t>
      </w:r>
      <w:r>
        <w:rPr>
          <w:rFonts w:ascii="方正仿宋_GBK" w:hAnsi="方正仿宋_GBK" w:eastAsia="方正仿宋_GBK" w:cs="方正仿宋_GBK"/>
          <w:sz w:val="28"/>
        </w:rPr>
        <w:t>.2024年统筹安全保障项目绩效目标表</w:t>
      </w:r>
      <w:bookmarkEnd w:id="8"/>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2024年统筹安全保障项目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926.00</w:t>
            </w:r>
          </w:p>
        </w:tc>
        <w:tc>
          <w:tcPr>
            <w:tcW w:w="1587" w:type="dxa"/>
            <w:vAlign w:val="center"/>
          </w:tcPr>
          <w:p>
            <w:pPr>
              <w:pStyle w:val="17"/>
            </w:pPr>
            <w:r>
              <w:t>其中：财政    资金</w:t>
            </w:r>
          </w:p>
        </w:tc>
        <w:tc>
          <w:tcPr>
            <w:tcW w:w="1843" w:type="dxa"/>
            <w:vAlign w:val="center"/>
          </w:tcPr>
          <w:p>
            <w:pPr>
              <w:pStyle w:val="16"/>
            </w:pPr>
            <w:r>
              <w:t>926.00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统筹2024年全委安全、正常运转。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1.统筹2024年全委安全、正常运转项目。</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物业服务管理面积</w:t>
            </w:r>
          </w:p>
        </w:tc>
        <w:tc>
          <w:tcPr>
            <w:tcW w:w="3430" w:type="dxa"/>
            <w:vAlign w:val="center"/>
          </w:tcPr>
          <w:p>
            <w:pPr>
              <w:pStyle w:val="16"/>
            </w:pPr>
            <w:r>
              <w:t>物业服务管理面积</w:t>
            </w:r>
          </w:p>
        </w:tc>
        <w:tc>
          <w:tcPr>
            <w:tcW w:w="2551" w:type="dxa"/>
            <w:vAlign w:val="center"/>
          </w:tcPr>
          <w:p>
            <w:pPr>
              <w:pStyle w:val="16"/>
            </w:pPr>
            <w:r>
              <w:t>29333.7平方米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车位数量</w:t>
            </w:r>
          </w:p>
        </w:tc>
        <w:tc>
          <w:tcPr>
            <w:tcW w:w="3430" w:type="dxa"/>
            <w:vAlign w:val="center"/>
          </w:tcPr>
          <w:p>
            <w:pPr>
              <w:pStyle w:val="16"/>
            </w:pPr>
            <w:r>
              <w:t>车位数量</w:t>
            </w:r>
          </w:p>
        </w:tc>
        <w:tc>
          <w:tcPr>
            <w:tcW w:w="2551" w:type="dxa"/>
            <w:vAlign w:val="center"/>
          </w:tcPr>
          <w:p>
            <w:pPr>
              <w:pStyle w:val="16"/>
            </w:pPr>
            <w:r>
              <w:t>150个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保障专班工作人员人数</w:t>
            </w:r>
          </w:p>
        </w:tc>
        <w:tc>
          <w:tcPr>
            <w:tcW w:w="3430" w:type="dxa"/>
            <w:vAlign w:val="center"/>
          </w:tcPr>
          <w:p>
            <w:pPr>
              <w:pStyle w:val="16"/>
            </w:pPr>
            <w:r>
              <w:t>保障专班工作人员人数</w:t>
            </w:r>
          </w:p>
        </w:tc>
        <w:tc>
          <w:tcPr>
            <w:tcW w:w="2551" w:type="dxa"/>
            <w:vAlign w:val="center"/>
          </w:tcPr>
          <w:p>
            <w:pPr>
              <w:pStyle w:val="16"/>
            </w:pPr>
            <w:r>
              <w:t>≥120人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能源托管单位个数</w:t>
            </w:r>
          </w:p>
        </w:tc>
        <w:tc>
          <w:tcPr>
            <w:tcW w:w="3430" w:type="dxa"/>
            <w:vAlign w:val="center"/>
          </w:tcPr>
          <w:p>
            <w:pPr>
              <w:pStyle w:val="16"/>
            </w:pPr>
            <w:r>
              <w:t>能源托管单位个数</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保障机房数量</w:t>
            </w:r>
          </w:p>
        </w:tc>
        <w:tc>
          <w:tcPr>
            <w:tcW w:w="3430" w:type="dxa"/>
            <w:vAlign w:val="center"/>
          </w:tcPr>
          <w:p>
            <w:pPr>
              <w:pStyle w:val="16"/>
            </w:pPr>
            <w:r>
              <w:t>保障网络机房数量</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专线数量</w:t>
            </w:r>
          </w:p>
        </w:tc>
        <w:tc>
          <w:tcPr>
            <w:tcW w:w="3430" w:type="dxa"/>
            <w:vAlign w:val="center"/>
          </w:tcPr>
          <w:p>
            <w:pPr>
              <w:pStyle w:val="16"/>
            </w:pPr>
            <w:r>
              <w:t>租用专线数量</w:t>
            </w:r>
          </w:p>
        </w:tc>
        <w:tc>
          <w:tcPr>
            <w:tcW w:w="2551" w:type="dxa"/>
            <w:vAlign w:val="center"/>
          </w:tcPr>
          <w:p>
            <w:pPr>
              <w:pStyle w:val="16"/>
            </w:pPr>
            <w:r>
              <w:t>≥4条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系统数量</w:t>
            </w:r>
          </w:p>
        </w:tc>
        <w:tc>
          <w:tcPr>
            <w:tcW w:w="3430" w:type="dxa"/>
            <w:vAlign w:val="center"/>
          </w:tcPr>
          <w:p>
            <w:pPr>
              <w:pStyle w:val="16"/>
            </w:pPr>
            <w:r>
              <w:t>整合改造系统数量</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物业服务质量合格率</w:t>
            </w:r>
          </w:p>
        </w:tc>
        <w:tc>
          <w:tcPr>
            <w:tcW w:w="3430" w:type="dxa"/>
            <w:vAlign w:val="center"/>
          </w:tcPr>
          <w:p>
            <w:pPr>
              <w:pStyle w:val="16"/>
            </w:pPr>
            <w:r>
              <w:t>物业服务质量合格率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车位保障率</w:t>
            </w:r>
          </w:p>
        </w:tc>
        <w:tc>
          <w:tcPr>
            <w:tcW w:w="3430" w:type="dxa"/>
            <w:vAlign w:val="center"/>
          </w:tcPr>
          <w:p>
            <w:pPr>
              <w:pStyle w:val="16"/>
            </w:pPr>
            <w:r>
              <w:t>车位保障率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能源托管质量合格率</w:t>
            </w:r>
          </w:p>
        </w:tc>
        <w:tc>
          <w:tcPr>
            <w:tcW w:w="3430" w:type="dxa"/>
            <w:vAlign w:val="center"/>
          </w:tcPr>
          <w:p>
            <w:pPr>
              <w:pStyle w:val="16"/>
            </w:pPr>
            <w:r>
              <w:t>能源托管质量合格率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保障专班工作开展情况</w:t>
            </w:r>
          </w:p>
        </w:tc>
        <w:tc>
          <w:tcPr>
            <w:tcW w:w="3430" w:type="dxa"/>
            <w:vAlign w:val="center"/>
          </w:tcPr>
          <w:p>
            <w:pPr>
              <w:pStyle w:val="16"/>
            </w:pPr>
            <w:r>
              <w:t>保障专班工作开展情况</w:t>
            </w:r>
          </w:p>
        </w:tc>
        <w:tc>
          <w:tcPr>
            <w:tcW w:w="2551" w:type="dxa"/>
            <w:vAlign w:val="center"/>
          </w:tcPr>
          <w:p>
            <w:pPr>
              <w:pStyle w:val="16"/>
            </w:pPr>
            <w:r>
              <w:t>进一步得到保障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专线宽带</w:t>
            </w:r>
          </w:p>
        </w:tc>
        <w:tc>
          <w:tcPr>
            <w:tcW w:w="3430" w:type="dxa"/>
            <w:vAlign w:val="center"/>
          </w:tcPr>
          <w:p>
            <w:pPr>
              <w:pStyle w:val="16"/>
            </w:pPr>
            <w:r>
              <w:t>专线宽带稳定性</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项目服务期限</w:t>
            </w:r>
          </w:p>
        </w:tc>
        <w:tc>
          <w:tcPr>
            <w:tcW w:w="3430" w:type="dxa"/>
            <w:vAlign w:val="center"/>
          </w:tcPr>
          <w:p>
            <w:pPr>
              <w:pStyle w:val="16"/>
            </w:pPr>
            <w:r>
              <w:t>项目服务期限</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项目成本</w:t>
            </w:r>
          </w:p>
        </w:tc>
        <w:tc>
          <w:tcPr>
            <w:tcW w:w="3430" w:type="dxa"/>
            <w:vAlign w:val="center"/>
          </w:tcPr>
          <w:p>
            <w:pPr>
              <w:pStyle w:val="16"/>
            </w:pPr>
            <w:r>
              <w:t>项目成本</w:t>
            </w:r>
          </w:p>
        </w:tc>
        <w:tc>
          <w:tcPr>
            <w:tcW w:w="2551" w:type="dxa"/>
            <w:vAlign w:val="center"/>
          </w:tcPr>
          <w:p>
            <w:pPr>
              <w:pStyle w:val="16"/>
            </w:pPr>
            <w:r>
              <w:t>≤926万元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机关运转情况</w:t>
            </w:r>
          </w:p>
        </w:tc>
        <w:tc>
          <w:tcPr>
            <w:tcW w:w="3430" w:type="dxa"/>
            <w:vAlign w:val="center"/>
          </w:tcPr>
          <w:p>
            <w:pPr>
              <w:pStyle w:val="16"/>
            </w:pPr>
            <w:r>
              <w:t>机关运转情况</w:t>
            </w:r>
          </w:p>
        </w:tc>
        <w:tc>
          <w:tcPr>
            <w:tcW w:w="2551" w:type="dxa"/>
            <w:vAlign w:val="center"/>
          </w:tcPr>
          <w:p>
            <w:pPr>
              <w:pStyle w:val="16"/>
            </w:pPr>
            <w:r>
              <w:t>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委职工停车便利度</w:t>
            </w:r>
          </w:p>
        </w:tc>
        <w:tc>
          <w:tcPr>
            <w:tcW w:w="3430" w:type="dxa"/>
            <w:vAlign w:val="center"/>
          </w:tcPr>
          <w:p>
            <w:pPr>
              <w:pStyle w:val="16"/>
            </w:pPr>
            <w:r>
              <w:t>委职工停车便利度</w:t>
            </w:r>
          </w:p>
        </w:tc>
        <w:tc>
          <w:tcPr>
            <w:tcW w:w="2551" w:type="dxa"/>
            <w:vAlign w:val="center"/>
          </w:tcPr>
          <w:p>
            <w:pPr>
              <w:pStyle w:val="16"/>
            </w:pPr>
            <w:r>
              <w:t>进一步提升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能源资源使用效率</w:t>
            </w:r>
          </w:p>
        </w:tc>
        <w:tc>
          <w:tcPr>
            <w:tcW w:w="3430" w:type="dxa"/>
            <w:vAlign w:val="center"/>
          </w:tcPr>
          <w:p>
            <w:pPr>
              <w:pStyle w:val="16"/>
            </w:pPr>
            <w:r>
              <w:t>能源资源使用效率</w:t>
            </w:r>
          </w:p>
        </w:tc>
        <w:tc>
          <w:tcPr>
            <w:tcW w:w="2551" w:type="dxa"/>
            <w:vAlign w:val="center"/>
          </w:tcPr>
          <w:p>
            <w:pPr>
              <w:pStyle w:val="16"/>
            </w:pPr>
            <w:r>
              <w:t>进一步提高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保障单位网络信息正常运行</w:t>
            </w:r>
          </w:p>
        </w:tc>
        <w:tc>
          <w:tcPr>
            <w:tcW w:w="3430" w:type="dxa"/>
            <w:vAlign w:val="center"/>
          </w:tcPr>
          <w:p>
            <w:pPr>
              <w:pStyle w:val="16"/>
            </w:pPr>
            <w:r>
              <w:t>保障单位网络信息正常运行</w:t>
            </w:r>
          </w:p>
        </w:tc>
        <w:tc>
          <w:tcPr>
            <w:tcW w:w="2551" w:type="dxa"/>
            <w:vAlign w:val="center"/>
          </w:tcPr>
          <w:p>
            <w:pPr>
              <w:pStyle w:val="16"/>
            </w:pPr>
            <w:r>
              <w:t>良好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干部职工满意度</w:t>
            </w:r>
          </w:p>
        </w:tc>
        <w:tc>
          <w:tcPr>
            <w:tcW w:w="3430" w:type="dxa"/>
            <w:vAlign w:val="center"/>
          </w:tcPr>
          <w:p>
            <w:pPr>
              <w:pStyle w:val="16"/>
            </w:pPr>
            <w:r>
              <w:t>干部职工满意度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9" w:name="_Toc157759615"/>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0</w:t>
      </w:r>
      <w:r>
        <w:rPr>
          <w:rFonts w:ascii="方正仿宋_GBK" w:hAnsi="方正仿宋_GBK" w:eastAsia="方正仿宋_GBK" w:cs="方正仿宋_GBK"/>
          <w:sz w:val="28"/>
        </w:rPr>
        <w:t>.2024年推动高质量发展“十项行动”及推动“经济运行、项目运行两个条线调度”工作经费绩效目标表</w:t>
      </w:r>
      <w:bookmarkEnd w:id="9"/>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2024年推动高质量发展“十项行动”及推动“经济运行、项目运行两个条线调度”工作经费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100.00</w:t>
            </w:r>
          </w:p>
        </w:tc>
        <w:tc>
          <w:tcPr>
            <w:tcW w:w="1587" w:type="dxa"/>
            <w:vAlign w:val="center"/>
          </w:tcPr>
          <w:p>
            <w:pPr>
              <w:pStyle w:val="17"/>
            </w:pPr>
            <w:r>
              <w:t>其中：财政    资金</w:t>
            </w:r>
          </w:p>
        </w:tc>
        <w:tc>
          <w:tcPr>
            <w:tcW w:w="1843" w:type="dxa"/>
            <w:vAlign w:val="center"/>
          </w:tcPr>
          <w:p>
            <w:pPr>
              <w:pStyle w:val="16"/>
            </w:pPr>
            <w:r>
              <w:t>100.00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推动高质量发展“十项行动”及推动“经济运行、项目运行两个条线调度”相关工作经费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1.开展关于滨海新区改革开放引领高质量发展的研究，落实滨海新区高质量发展支撑引领行动</w:t>
            </w:r>
          </w:p>
          <w:p>
            <w:pPr>
              <w:pStyle w:val="16"/>
            </w:pPr>
            <w:r>
              <w:t>2.通过课题研究，落实港产城融合发展行动</w:t>
            </w:r>
          </w:p>
          <w:p>
            <w:pPr>
              <w:pStyle w:val="16"/>
            </w:pPr>
            <w:r>
              <w:t>3.开展研究制定天津市生态产品价值核算规范、2024年天津市重点领域节能降碳综合服务、提升我市能源数字化智能化发展水平研究、天津市坚强局部电网建设情况评估、天津市煤炭清洁替代路径研究，落实绿色低碳发展行动</w:t>
            </w:r>
          </w:p>
          <w:p>
            <w:pPr>
              <w:pStyle w:val="16"/>
            </w:pPr>
            <w:r>
              <w:t>4.对国家算力枢纽节点数据中心建设情况开展监测，推动京津冀协同发展走深走实行动</w:t>
            </w:r>
          </w:p>
          <w:p>
            <w:pPr>
              <w:pStyle w:val="16"/>
            </w:pPr>
            <w:r>
              <w:t>5.开展我市各类经营主体高质量发展的研究、基础设施领域不动产投资信托基金（REITs）试点项目专家评估咨询费、中央预算内专项项目验收评审、重大政策、重大工程项目评估评价所需专家评审和社会调查，服务两个条线调度</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课题研究数量</w:t>
            </w:r>
          </w:p>
        </w:tc>
        <w:tc>
          <w:tcPr>
            <w:tcW w:w="3430" w:type="dxa"/>
            <w:vAlign w:val="center"/>
          </w:tcPr>
          <w:p>
            <w:pPr>
              <w:pStyle w:val="16"/>
            </w:pPr>
            <w:r>
              <w:t>课题研究数量</w:t>
            </w:r>
          </w:p>
        </w:tc>
        <w:tc>
          <w:tcPr>
            <w:tcW w:w="2551" w:type="dxa"/>
            <w:vAlign w:val="center"/>
          </w:tcPr>
          <w:p>
            <w:pPr>
              <w:pStyle w:val="16"/>
            </w:pPr>
            <w:r>
              <w:t>≥5项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调研人次</w:t>
            </w:r>
          </w:p>
        </w:tc>
        <w:tc>
          <w:tcPr>
            <w:tcW w:w="3430" w:type="dxa"/>
            <w:vAlign w:val="center"/>
          </w:tcPr>
          <w:p>
            <w:pPr>
              <w:pStyle w:val="16"/>
            </w:pPr>
            <w:r>
              <w:t>调研人次</w:t>
            </w:r>
          </w:p>
        </w:tc>
        <w:tc>
          <w:tcPr>
            <w:tcW w:w="2551" w:type="dxa"/>
            <w:vAlign w:val="center"/>
          </w:tcPr>
          <w:p>
            <w:pPr>
              <w:pStyle w:val="16"/>
            </w:pPr>
            <w:r>
              <w:t>≥50人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课题验收通过率</w:t>
            </w:r>
          </w:p>
        </w:tc>
        <w:tc>
          <w:tcPr>
            <w:tcW w:w="3430" w:type="dxa"/>
            <w:vAlign w:val="center"/>
          </w:tcPr>
          <w:p>
            <w:pPr>
              <w:pStyle w:val="16"/>
            </w:pPr>
            <w:r>
              <w:t>课题验收通过率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转化调研报告数量</w:t>
            </w:r>
          </w:p>
        </w:tc>
        <w:tc>
          <w:tcPr>
            <w:tcW w:w="3430" w:type="dxa"/>
            <w:vAlign w:val="center"/>
          </w:tcPr>
          <w:p>
            <w:pPr>
              <w:pStyle w:val="16"/>
            </w:pPr>
            <w:r>
              <w:t>转化调研报告数量</w:t>
            </w:r>
          </w:p>
        </w:tc>
        <w:tc>
          <w:tcPr>
            <w:tcW w:w="2551" w:type="dxa"/>
            <w:vAlign w:val="center"/>
          </w:tcPr>
          <w:p>
            <w:pPr>
              <w:pStyle w:val="16"/>
            </w:pPr>
            <w:r>
              <w:t>≥20份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课题按时结题率</w:t>
            </w:r>
          </w:p>
        </w:tc>
        <w:tc>
          <w:tcPr>
            <w:tcW w:w="3430" w:type="dxa"/>
            <w:vAlign w:val="center"/>
          </w:tcPr>
          <w:p>
            <w:pPr>
              <w:pStyle w:val="16"/>
            </w:pPr>
            <w:r>
              <w:t>课题按时结题率</w:t>
            </w:r>
          </w:p>
        </w:tc>
        <w:tc>
          <w:tcPr>
            <w:tcW w:w="2551" w:type="dxa"/>
            <w:vAlign w:val="center"/>
          </w:tcPr>
          <w:p>
            <w:pPr>
              <w:pStyle w:val="16"/>
            </w:pPr>
            <w:r>
              <w: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调研及时率</w:t>
            </w:r>
          </w:p>
        </w:tc>
        <w:tc>
          <w:tcPr>
            <w:tcW w:w="3430" w:type="dxa"/>
            <w:vAlign w:val="center"/>
          </w:tcPr>
          <w:p>
            <w:pPr>
              <w:pStyle w:val="16"/>
            </w:pPr>
            <w:r>
              <w:t>调研及时率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课题研究成本</w:t>
            </w:r>
          </w:p>
        </w:tc>
        <w:tc>
          <w:tcPr>
            <w:tcW w:w="3430" w:type="dxa"/>
            <w:vAlign w:val="center"/>
          </w:tcPr>
          <w:p>
            <w:pPr>
              <w:pStyle w:val="16"/>
            </w:pPr>
            <w:r>
              <w:t>课题研究成本</w:t>
            </w:r>
          </w:p>
        </w:tc>
        <w:tc>
          <w:tcPr>
            <w:tcW w:w="2551" w:type="dxa"/>
            <w:vAlign w:val="center"/>
          </w:tcPr>
          <w:p>
            <w:pPr>
              <w:pStyle w:val="16"/>
            </w:pPr>
            <w:r>
              <w:t>≤70万元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外出调研成本</w:t>
            </w:r>
          </w:p>
        </w:tc>
        <w:tc>
          <w:tcPr>
            <w:tcW w:w="3430" w:type="dxa"/>
            <w:vAlign w:val="center"/>
          </w:tcPr>
          <w:p>
            <w:pPr>
              <w:pStyle w:val="16"/>
            </w:pPr>
            <w:r>
              <w:t>外出调研成本</w:t>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推动我市高质量发展</w:t>
            </w:r>
          </w:p>
        </w:tc>
        <w:tc>
          <w:tcPr>
            <w:tcW w:w="3430" w:type="dxa"/>
            <w:vAlign w:val="center"/>
          </w:tcPr>
          <w:p>
            <w:pPr>
              <w:pStyle w:val="16"/>
            </w:pPr>
            <w:r>
              <w:t>推动我市高质量发展</w:t>
            </w:r>
          </w:p>
        </w:tc>
        <w:tc>
          <w:tcPr>
            <w:tcW w:w="2551" w:type="dxa"/>
            <w:vAlign w:val="center"/>
          </w:tcPr>
          <w:p>
            <w:pPr>
              <w:pStyle w:val="16"/>
            </w:pPr>
            <w:r>
              <w:t>大力推动我市高质量发展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课题研究满意度</w:t>
            </w:r>
          </w:p>
        </w:tc>
        <w:tc>
          <w:tcPr>
            <w:tcW w:w="3430" w:type="dxa"/>
            <w:vAlign w:val="center"/>
          </w:tcPr>
          <w:p>
            <w:pPr>
              <w:pStyle w:val="16"/>
            </w:pPr>
            <w:r>
              <w:t>课题研究满意度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调研人员满意度</w:t>
            </w:r>
          </w:p>
        </w:tc>
        <w:tc>
          <w:tcPr>
            <w:tcW w:w="3430" w:type="dxa"/>
            <w:vAlign w:val="center"/>
          </w:tcPr>
          <w:p>
            <w:pPr>
              <w:pStyle w:val="16"/>
            </w:pPr>
            <w:r>
              <w:t>调研人员满意度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0" w:name="_Toc157759616"/>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1</w:t>
      </w:r>
      <w:r>
        <w:rPr>
          <w:rFonts w:ascii="方正仿宋_GBK" w:hAnsi="方正仿宋_GBK" w:eastAsia="方正仿宋_GBK" w:cs="方正仿宋_GBK"/>
          <w:sz w:val="28"/>
        </w:rPr>
        <w:t>.2024年中央财政农产品成本调查经费绩效目标表</w:t>
      </w:r>
      <w:bookmarkEnd w:id="1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2024年中央财政农产品成本调查经费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41.00</w:t>
            </w:r>
          </w:p>
        </w:tc>
        <w:tc>
          <w:tcPr>
            <w:tcW w:w="1587" w:type="dxa"/>
            <w:vAlign w:val="center"/>
          </w:tcPr>
          <w:p>
            <w:pPr>
              <w:pStyle w:val="17"/>
            </w:pPr>
            <w:r>
              <w:t>其中：财政    资金</w:t>
            </w:r>
          </w:p>
        </w:tc>
        <w:tc>
          <w:tcPr>
            <w:tcW w:w="1843" w:type="dxa"/>
            <w:vAlign w:val="center"/>
          </w:tcPr>
          <w:p>
            <w:pPr>
              <w:pStyle w:val="16"/>
            </w:pPr>
            <w:r>
              <w:t>41.00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完成农产品成本调查任务，为农民调整种养结构、增产增收提供数据信息，为政府宏观调控提供数据支持。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1.完成农产品成本调查任务，为农民调整种养结构、增产增收提供数据信息，为政府宏观调控提供数据支持。</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开展工作的行政区数量</w:t>
            </w:r>
          </w:p>
        </w:tc>
        <w:tc>
          <w:tcPr>
            <w:tcW w:w="3430" w:type="dxa"/>
            <w:vAlign w:val="center"/>
          </w:tcPr>
          <w:p>
            <w:pPr>
              <w:pStyle w:val="16"/>
            </w:pPr>
            <w:r>
              <w:t>开展工作的行政区数量</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数据上报率</w:t>
            </w:r>
          </w:p>
        </w:tc>
        <w:tc>
          <w:tcPr>
            <w:tcW w:w="3430" w:type="dxa"/>
            <w:vAlign w:val="center"/>
          </w:tcPr>
          <w:p>
            <w:pPr>
              <w:pStyle w:val="16"/>
            </w:pPr>
            <w:r>
              <w:t>数据上报率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按时完成农产品成本调查任务</w:t>
            </w:r>
          </w:p>
        </w:tc>
        <w:tc>
          <w:tcPr>
            <w:tcW w:w="3430" w:type="dxa"/>
            <w:vAlign w:val="center"/>
          </w:tcPr>
          <w:p>
            <w:pPr>
              <w:pStyle w:val="16"/>
            </w:pPr>
            <w:r>
              <w:t>按时完成农产品成本调查任务</w:t>
            </w:r>
          </w:p>
        </w:tc>
        <w:tc>
          <w:tcPr>
            <w:tcW w:w="2551" w:type="dxa"/>
            <w:vAlign w:val="center"/>
          </w:tcPr>
          <w:p>
            <w:pPr>
              <w:pStyle w:val="16"/>
            </w:pPr>
            <w:r>
              <w:t>2024年12月31日前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成本调查经费</w:t>
            </w:r>
          </w:p>
        </w:tc>
        <w:tc>
          <w:tcPr>
            <w:tcW w:w="3430" w:type="dxa"/>
            <w:vAlign w:val="center"/>
          </w:tcPr>
          <w:p>
            <w:pPr>
              <w:pStyle w:val="16"/>
            </w:pPr>
            <w:r>
              <w:t>成本调查经费</w:t>
            </w:r>
          </w:p>
        </w:tc>
        <w:tc>
          <w:tcPr>
            <w:tcW w:w="2551" w:type="dxa"/>
            <w:vAlign w:val="center"/>
          </w:tcPr>
          <w:p>
            <w:pPr>
              <w:pStyle w:val="16"/>
            </w:pPr>
            <w:r>
              <w:t>≤41万元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服务宏观调控</w:t>
            </w:r>
          </w:p>
        </w:tc>
        <w:tc>
          <w:tcPr>
            <w:tcW w:w="3430" w:type="dxa"/>
            <w:vAlign w:val="center"/>
          </w:tcPr>
          <w:p>
            <w:pPr>
              <w:pStyle w:val="16"/>
            </w:pPr>
            <w:r>
              <w:t>服务宏观调控</w:t>
            </w:r>
          </w:p>
        </w:tc>
        <w:tc>
          <w:tcPr>
            <w:tcW w:w="2551" w:type="dxa"/>
            <w:vAlign w:val="center"/>
          </w:tcPr>
          <w:p>
            <w:pPr>
              <w:pStyle w:val="16"/>
            </w:pPr>
            <w:r>
              <w:t>为政府宏观调控提供数据支持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相关单位满意度</w:t>
            </w:r>
          </w:p>
        </w:tc>
        <w:tc>
          <w:tcPr>
            <w:tcW w:w="3430" w:type="dxa"/>
            <w:vAlign w:val="center"/>
          </w:tcPr>
          <w:p>
            <w:pPr>
              <w:pStyle w:val="16"/>
            </w:pPr>
            <w:r>
              <w:t>相关单位满意度</w:t>
            </w:r>
          </w:p>
        </w:tc>
        <w:tc>
          <w:tcPr>
            <w:tcW w:w="2551" w:type="dxa"/>
            <w:vAlign w:val="center"/>
          </w:tcPr>
          <w:p>
            <w:pPr>
              <w:pStyle w:val="16"/>
            </w:pPr>
            <w:r>
              <w:t>≥95%</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1" w:name="_Toc157759617"/>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2</w:t>
      </w:r>
      <w:r>
        <w:rPr>
          <w:rFonts w:ascii="方正仿宋_GBK" w:hAnsi="方正仿宋_GBK" w:eastAsia="方正仿宋_GBK" w:cs="方正仿宋_GBK"/>
          <w:sz w:val="28"/>
        </w:rPr>
        <w:t>.2024年重大会议活动经费绩效目标表</w:t>
      </w:r>
      <w:bookmarkEnd w:id="1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2024年重大会议活动经费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672.50</w:t>
            </w:r>
          </w:p>
        </w:tc>
        <w:tc>
          <w:tcPr>
            <w:tcW w:w="1587" w:type="dxa"/>
            <w:vAlign w:val="center"/>
          </w:tcPr>
          <w:p>
            <w:pPr>
              <w:pStyle w:val="17"/>
            </w:pPr>
            <w:r>
              <w:t>其中：财政    资金</w:t>
            </w:r>
          </w:p>
        </w:tc>
        <w:tc>
          <w:tcPr>
            <w:tcW w:w="1843" w:type="dxa"/>
            <w:vAlign w:val="center"/>
          </w:tcPr>
          <w:p>
            <w:pPr>
              <w:pStyle w:val="16"/>
            </w:pPr>
            <w:r>
              <w:t>672.50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1.按照合同约定，2023年中国民营企业投融资洽谈会尾款。举办2024中国民营企业投融资洽谈会开幕式、平行论坛（会议）、项目发布（路演）、融资对接、专题培训等一系列活动。2.按照合同约定，支付2023年中国品牌日天津板块活动项目服务尾款、组织我市自主品牌企业参加2024中国品牌日线上和线下展览活动，组织第三方设计制作线上云展馆，搭建线下实体展馆，有效提升我市自主品牌知名度。</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1.按照合同约定，2023年中国民营企业投融资洽谈会尾款。举办2024中国民营企业投融资洽谈会开幕式、平行论坛（会议）、项目发布（路演）、融资对接、专题培训等一系列活动。</w:t>
            </w:r>
          </w:p>
          <w:p>
            <w:pPr>
              <w:pStyle w:val="16"/>
            </w:pPr>
            <w:r>
              <w:t>2.按照合同约定，支付2023年中国品牌日天津板块活动项目服务尾款、组织我市自主品牌企业参加2024中国品牌日线上和线下展览活动，组织第三方设计制作线上云展馆，搭建线下实体展馆，有效提升我市自主品牌知名度。</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支付尾款笔数（对应目标1、2）</w:t>
            </w:r>
          </w:p>
        </w:tc>
        <w:tc>
          <w:tcPr>
            <w:tcW w:w="3430" w:type="dxa"/>
            <w:vAlign w:val="center"/>
          </w:tcPr>
          <w:p>
            <w:pPr>
              <w:pStyle w:val="16"/>
            </w:pPr>
            <w:r>
              <w:t>支付尾款笔数</w:t>
            </w:r>
          </w:p>
        </w:tc>
        <w:tc>
          <w:tcPr>
            <w:tcW w:w="2551" w:type="dxa"/>
            <w:vAlign w:val="center"/>
          </w:tcPr>
          <w:p>
            <w:pPr>
              <w:pStyle w:val="16"/>
            </w:pPr>
            <w:r>
              <w:t>2笔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举办活动场次（对应目标1）</w:t>
            </w:r>
          </w:p>
        </w:tc>
        <w:tc>
          <w:tcPr>
            <w:tcW w:w="3430" w:type="dxa"/>
            <w:vAlign w:val="center"/>
          </w:tcPr>
          <w:p>
            <w:pPr>
              <w:pStyle w:val="16"/>
            </w:pPr>
            <w:r>
              <w:t>举办活动场次</w:t>
            </w:r>
          </w:p>
        </w:tc>
        <w:tc>
          <w:tcPr>
            <w:tcW w:w="2551" w:type="dxa"/>
            <w:vAlign w:val="center"/>
          </w:tcPr>
          <w:p>
            <w:pPr>
              <w:pStyle w:val="16"/>
            </w:pPr>
            <w:r>
              <w:t>≥8场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参加实体和云上展览企业数量（对应目标2）</w:t>
            </w:r>
          </w:p>
        </w:tc>
        <w:tc>
          <w:tcPr>
            <w:tcW w:w="3430" w:type="dxa"/>
            <w:vAlign w:val="center"/>
          </w:tcPr>
          <w:p>
            <w:pPr>
              <w:pStyle w:val="16"/>
            </w:pPr>
            <w:r>
              <w:t>参加实体和云上展览企业数量</w:t>
            </w:r>
          </w:p>
        </w:tc>
        <w:tc>
          <w:tcPr>
            <w:tcW w:w="2551" w:type="dxa"/>
            <w:vAlign w:val="center"/>
          </w:tcPr>
          <w:p>
            <w:pPr>
              <w:pStyle w:val="16"/>
            </w:pPr>
            <w:r>
              <w:t>≥30家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重点嘉宾出席率（对应目标1）</w:t>
            </w:r>
          </w:p>
        </w:tc>
        <w:tc>
          <w:tcPr>
            <w:tcW w:w="3430" w:type="dxa"/>
            <w:vAlign w:val="center"/>
          </w:tcPr>
          <w:p>
            <w:pPr>
              <w:pStyle w:val="16"/>
            </w:pPr>
            <w:r>
              <w:t>重点嘉宾出席率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尾款资金到位率（对应目标2）</w:t>
            </w:r>
          </w:p>
        </w:tc>
        <w:tc>
          <w:tcPr>
            <w:tcW w:w="3430" w:type="dxa"/>
            <w:vAlign w:val="center"/>
          </w:tcPr>
          <w:p>
            <w:pPr>
              <w:pStyle w:val="16"/>
            </w:pPr>
            <w:r>
              <w:t>尾款资金到位率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展馆建设质量验收合格率（对应目标2）</w:t>
            </w:r>
          </w:p>
        </w:tc>
        <w:tc>
          <w:tcPr>
            <w:tcW w:w="3430" w:type="dxa"/>
            <w:vAlign w:val="center"/>
          </w:tcPr>
          <w:p>
            <w:pPr>
              <w:pStyle w:val="16"/>
            </w:pPr>
            <w:r>
              <w:t>展馆建设质量验收合格率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支付尾款时间（对应目标1）</w:t>
            </w:r>
          </w:p>
        </w:tc>
        <w:tc>
          <w:tcPr>
            <w:tcW w:w="3430" w:type="dxa"/>
            <w:vAlign w:val="center"/>
          </w:tcPr>
          <w:p>
            <w:pPr>
              <w:pStyle w:val="16"/>
            </w:pPr>
            <w:r>
              <w:t>支付尾款时间</w:t>
            </w:r>
          </w:p>
        </w:tc>
        <w:tc>
          <w:tcPr>
            <w:tcW w:w="2551" w:type="dxa"/>
            <w:vAlign w:val="center"/>
          </w:tcPr>
          <w:p>
            <w:pPr>
              <w:pStyle w:val="16"/>
            </w:pPr>
            <w:r>
              <w:t>2024年12月31日前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活动举办时间（对应目标1）</w:t>
            </w:r>
          </w:p>
        </w:tc>
        <w:tc>
          <w:tcPr>
            <w:tcW w:w="3430" w:type="dxa"/>
            <w:vAlign w:val="center"/>
          </w:tcPr>
          <w:p>
            <w:pPr>
              <w:pStyle w:val="16"/>
            </w:pPr>
            <w:r>
              <w:t>活动举办时间</w:t>
            </w:r>
          </w:p>
        </w:tc>
        <w:tc>
          <w:tcPr>
            <w:tcW w:w="2551" w:type="dxa"/>
            <w:vAlign w:val="center"/>
          </w:tcPr>
          <w:p>
            <w:pPr>
              <w:pStyle w:val="16"/>
            </w:pPr>
            <w:r>
              <w:t>2024年12月31日前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展馆建设完成时限（对应目标2）</w:t>
            </w:r>
          </w:p>
        </w:tc>
        <w:tc>
          <w:tcPr>
            <w:tcW w:w="3430" w:type="dxa"/>
            <w:vAlign w:val="center"/>
          </w:tcPr>
          <w:p>
            <w:pPr>
              <w:pStyle w:val="16"/>
            </w:pPr>
            <w:r>
              <w:t>展馆建设完成时限</w:t>
            </w:r>
          </w:p>
        </w:tc>
        <w:tc>
          <w:tcPr>
            <w:tcW w:w="2551" w:type="dxa"/>
            <w:vAlign w:val="center"/>
          </w:tcPr>
          <w:p>
            <w:pPr>
              <w:pStyle w:val="16"/>
            </w:pPr>
            <w:r>
              <w:t>2024年5月10日前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项目总预算</w:t>
            </w:r>
          </w:p>
        </w:tc>
        <w:tc>
          <w:tcPr>
            <w:tcW w:w="3430" w:type="dxa"/>
            <w:vAlign w:val="center"/>
          </w:tcPr>
          <w:p>
            <w:pPr>
              <w:pStyle w:val="16"/>
            </w:pPr>
            <w:r>
              <w:t>项目总预算</w:t>
            </w:r>
          </w:p>
        </w:tc>
        <w:tc>
          <w:tcPr>
            <w:tcW w:w="2551" w:type="dxa"/>
            <w:vAlign w:val="center"/>
          </w:tcPr>
          <w:p>
            <w:pPr>
              <w:pStyle w:val="16"/>
            </w:pPr>
            <w:r>
              <w:t>≤672.5万元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资金使用效益（对应目标1）</w:t>
            </w:r>
          </w:p>
        </w:tc>
        <w:tc>
          <w:tcPr>
            <w:tcW w:w="3430" w:type="dxa"/>
            <w:vAlign w:val="center"/>
          </w:tcPr>
          <w:p>
            <w:pPr>
              <w:pStyle w:val="16"/>
            </w:pPr>
            <w:r>
              <w:t>促进民营经济高质量发展</w:t>
            </w:r>
          </w:p>
        </w:tc>
        <w:tc>
          <w:tcPr>
            <w:tcW w:w="2551" w:type="dxa"/>
            <w:vAlign w:val="center"/>
          </w:tcPr>
          <w:p>
            <w:pPr>
              <w:pStyle w:val="16"/>
            </w:pPr>
            <w:r>
              <w:t>通过办会为民营经济提供合作交流平台，宣传优秀企业家，营造支持民营经济发展的社会氛围。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新闻宣传篇数（对应目标1）</w:t>
            </w:r>
          </w:p>
        </w:tc>
        <w:tc>
          <w:tcPr>
            <w:tcW w:w="3430" w:type="dxa"/>
            <w:vAlign w:val="center"/>
          </w:tcPr>
          <w:p>
            <w:pPr>
              <w:pStyle w:val="16"/>
            </w:pPr>
            <w:r>
              <w:t>新闻宣传篇数</w:t>
            </w:r>
          </w:p>
        </w:tc>
        <w:tc>
          <w:tcPr>
            <w:tcW w:w="2551" w:type="dxa"/>
            <w:vAlign w:val="center"/>
          </w:tcPr>
          <w:p>
            <w:pPr>
              <w:pStyle w:val="16"/>
            </w:pPr>
            <w:r>
              <w:t>≥20篇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自主品牌知名度（对应目标2）</w:t>
            </w:r>
          </w:p>
        </w:tc>
        <w:tc>
          <w:tcPr>
            <w:tcW w:w="3430" w:type="dxa"/>
            <w:vAlign w:val="center"/>
          </w:tcPr>
          <w:p>
            <w:pPr>
              <w:pStyle w:val="16"/>
            </w:pPr>
            <w:r>
              <w:t>有效提升自主品牌在全国的知名度</w:t>
            </w:r>
          </w:p>
        </w:tc>
        <w:tc>
          <w:tcPr>
            <w:tcW w:w="2551" w:type="dxa"/>
            <w:vAlign w:val="center"/>
          </w:tcPr>
          <w:p>
            <w:pPr>
              <w:pStyle w:val="16"/>
            </w:pPr>
            <w:r>
              <w:t>有效提升自主品牌在全国的知名度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资金支付对象满意度（对应目标2）</w:t>
            </w:r>
          </w:p>
        </w:tc>
        <w:tc>
          <w:tcPr>
            <w:tcW w:w="3430" w:type="dxa"/>
            <w:vAlign w:val="center"/>
          </w:tcPr>
          <w:p>
            <w:pPr>
              <w:pStyle w:val="16"/>
            </w:pPr>
            <w:r>
              <w:t>资金支付对象满意度</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参会客商满意度（抽样）（对应目标1）</w:t>
            </w:r>
          </w:p>
        </w:tc>
        <w:tc>
          <w:tcPr>
            <w:tcW w:w="3430" w:type="dxa"/>
            <w:vAlign w:val="center"/>
          </w:tcPr>
          <w:p>
            <w:pPr>
              <w:pStyle w:val="16"/>
            </w:pPr>
            <w:r>
              <w:t>参会客商满意度（抽样）</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服务对象满意度指标</w:t>
            </w:r>
          </w:p>
        </w:tc>
        <w:tc>
          <w:tcPr>
            <w:tcW w:w="1332" w:type="dxa"/>
            <w:vAlign w:val="center"/>
          </w:tcPr>
          <w:p>
            <w:pPr>
              <w:pStyle w:val="16"/>
            </w:pPr>
            <w:r>
              <w:t>参展企业满意度（对应目标2）</w:t>
            </w:r>
          </w:p>
        </w:tc>
        <w:tc>
          <w:tcPr>
            <w:tcW w:w="3430" w:type="dxa"/>
            <w:vAlign w:val="center"/>
          </w:tcPr>
          <w:p>
            <w:pPr>
              <w:pStyle w:val="16"/>
            </w:pPr>
            <w:r>
              <w:t>参展企业满意度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2" w:name="_Toc157759618"/>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3</w:t>
      </w:r>
      <w:r>
        <w:rPr>
          <w:rFonts w:ascii="方正仿宋_GBK" w:hAnsi="方正仿宋_GBK" w:eastAsia="方正仿宋_GBK" w:cs="方正仿宋_GBK"/>
          <w:sz w:val="28"/>
        </w:rPr>
        <w:t>.2024年重点项目办公室工作经费绩效目标表</w:t>
      </w:r>
      <w:bookmarkEnd w:id="1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2024年重点项目办公室工作经费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30.00</w:t>
            </w:r>
          </w:p>
        </w:tc>
        <w:tc>
          <w:tcPr>
            <w:tcW w:w="1587" w:type="dxa"/>
            <w:vAlign w:val="center"/>
          </w:tcPr>
          <w:p>
            <w:pPr>
              <w:pStyle w:val="17"/>
            </w:pPr>
            <w:r>
              <w:t>其中：财政    资金</w:t>
            </w:r>
          </w:p>
        </w:tc>
        <w:tc>
          <w:tcPr>
            <w:tcW w:w="1843" w:type="dxa"/>
            <w:vAlign w:val="center"/>
          </w:tcPr>
          <w:p>
            <w:pPr>
              <w:pStyle w:val="16"/>
            </w:pPr>
            <w:r>
              <w:t>30.00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按照市委市政府做大做强项目办的指示要求，坚持目标导向、问题导向和结果导向，围绕全市投资目标，持续推动市级重点项目谋划、储备、建设。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1.按照市委市政府做大做强项目办的指示要求，坚持目标导向、问题导向和结果导向，围绕全市投资目标，持续推动市级重点项目谋划、储备、建设。</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项目办工作人数</w:t>
            </w:r>
          </w:p>
        </w:tc>
        <w:tc>
          <w:tcPr>
            <w:tcW w:w="3430" w:type="dxa"/>
            <w:vAlign w:val="center"/>
          </w:tcPr>
          <w:p>
            <w:pPr>
              <w:pStyle w:val="16"/>
            </w:pPr>
            <w:r>
              <w:t>项目办工作人数</w:t>
            </w:r>
          </w:p>
        </w:tc>
        <w:tc>
          <w:tcPr>
            <w:tcW w:w="2551" w:type="dxa"/>
            <w:vAlign w:val="center"/>
          </w:tcPr>
          <w:p>
            <w:pPr>
              <w:pStyle w:val="16"/>
            </w:pPr>
            <w:r>
              <w:t>≥20人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机构正常运行率</w:t>
            </w:r>
          </w:p>
        </w:tc>
        <w:tc>
          <w:tcPr>
            <w:tcW w:w="3430" w:type="dxa"/>
            <w:vAlign w:val="center"/>
          </w:tcPr>
          <w:p>
            <w:pPr>
              <w:pStyle w:val="16"/>
            </w:pPr>
            <w:r>
              <w:t>机构正常运行率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重大项目问题解决及时率</w:t>
            </w:r>
          </w:p>
        </w:tc>
        <w:tc>
          <w:tcPr>
            <w:tcW w:w="3430" w:type="dxa"/>
            <w:vAlign w:val="center"/>
          </w:tcPr>
          <w:p>
            <w:pPr>
              <w:pStyle w:val="16"/>
            </w:pPr>
            <w:r>
              <w:t>重大项目问题解决及时率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工作经费预算</w:t>
            </w:r>
          </w:p>
        </w:tc>
        <w:tc>
          <w:tcPr>
            <w:tcW w:w="3430" w:type="dxa"/>
            <w:vAlign w:val="center"/>
          </w:tcPr>
          <w:p>
            <w:pPr>
              <w:pStyle w:val="16"/>
            </w:pPr>
            <w:r>
              <w:t>工作经费预算</w:t>
            </w:r>
          </w:p>
        </w:tc>
        <w:tc>
          <w:tcPr>
            <w:tcW w:w="2551" w:type="dxa"/>
            <w:vAlign w:val="center"/>
          </w:tcPr>
          <w:p>
            <w:pPr>
              <w:pStyle w:val="16"/>
            </w:pPr>
            <w:r>
              <w:t>≤30万元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持续推动市级重点项目谋划储备建设</w:t>
            </w:r>
          </w:p>
        </w:tc>
        <w:tc>
          <w:tcPr>
            <w:tcW w:w="3430" w:type="dxa"/>
            <w:vAlign w:val="center"/>
          </w:tcPr>
          <w:p>
            <w:pPr>
              <w:pStyle w:val="16"/>
            </w:pPr>
            <w:r>
              <w:t>持续推动市级重点项目谋划储备建设</w:t>
            </w:r>
          </w:p>
        </w:tc>
        <w:tc>
          <w:tcPr>
            <w:tcW w:w="2551" w:type="dxa"/>
            <w:vAlign w:val="center"/>
          </w:tcPr>
          <w:p>
            <w:pPr>
              <w:pStyle w:val="16"/>
            </w:pPr>
            <w:r>
              <w:t>持续推动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工作人员满意度</w:t>
            </w:r>
          </w:p>
        </w:tc>
        <w:tc>
          <w:tcPr>
            <w:tcW w:w="3430" w:type="dxa"/>
            <w:vAlign w:val="center"/>
          </w:tcPr>
          <w:p>
            <w:pPr>
              <w:pStyle w:val="16"/>
            </w:pPr>
            <w:r>
              <w:t>工作人员满意度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3" w:name="_Toc157759619"/>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4</w:t>
      </w:r>
      <w:r>
        <w:rPr>
          <w:rFonts w:ascii="方正仿宋_GBK" w:hAnsi="方正仿宋_GBK" w:eastAsia="方正仿宋_GBK" w:cs="方正仿宋_GBK"/>
          <w:sz w:val="28"/>
        </w:rPr>
        <w:t>.节能减排补助资金-中央绩效目标表</w:t>
      </w:r>
      <w:bookmarkEnd w:id="1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节能减排补助资金-中央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4750.00</w:t>
            </w:r>
          </w:p>
        </w:tc>
        <w:tc>
          <w:tcPr>
            <w:tcW w:w="1587" w:type="dxa"/>
            <w:vAlign w:val="center"/>
          </w:tcPr>
          <w:p>
            <w:pPr>
              <w:pStyle w:val="17"/>
            </w:pPr>
            <w:r>
              <w:t>其中：财政    资金</w:t>
            </w:r>
          </w:p>
        </w:tc>
        <w:tc>
          <w:tcPr>
            <w:tcW w:w="1843" w:type="dxa"/>
            <w:vAlign w:val="center"/>
          </w:tcPr>
          <w:p>
            <w:pPr>
              <w:pStyle w:val="16"/>
            </w:pPr>
            <w:r>
              <w:t>4750.00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完善天津市新能源汽车基础设施建设，有效缓解新能源汽车充电难、不便利的问题，从而促进新能源汽车的推广应用，保护环境、带动经济发展。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1.完善天津市新能源汽车基础设施建设，有效缓解新能源汽车充电难、不便利的问题，从而促进新能源汽车的推广应用，保护环境、带动经济发展。</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公共充电桩建设数量</w:t>
            </w:r>
          </w:p>
        </w:tc>
        <w:tc>
          <w:tcPr>
            <w:tcW w:w="3430" w:type="dxa"/>
            <w:vAlign w:val="center"/>
          </w:tcPr>
          <w:p>
            <w:pPr>
              <w:pStyle w:val="16"/>
            </w:pPr>
            <w:r>
              <w:t>公共充电桩建设数量</w:t>
            </w:r>
          </w:p>
        </w:tc>
        <w:tc>
          <w:tcPr>
            <w:tcW w:w="2551" w:type="dxa"/>
            <w:vAlign w:val="center"/>
          </w:tcPr>
          <w:p>
            <w:pPr>
              <w:pStyle w:val="16"/>
            </w:pPr>
            <w:r>
              <w:t>≥7000台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补贴企业数量</w:t>
            </w:r>
          </w:p>
        </w:tc>
        <w:tc>
          <w:tcPr>
            <w:tcW w:w="3430" w:type="dxa"/>
            <w:vAlign w:val="center"/>
          </w:tcPr>
          <w:p>
            <w:pPr>
              <w:pStyle w:val="16"/>
            </w:pPr>
            <w:r>
              <w:t>补贴企业数量</w:t>
            </w:r>
          </w:p>
        </w:tc>
        <w:tc>
          <w:tcPr>
            <w:tcW w:w="2551" w:type="dxa"/>
            <w:vAlign w:val="center"/>
          </w:tcPr>
          <w:p>
            <w:pPr>
              <w:pStyle w:val="16"/>
            </w:pPr>
            <w:r>
              <w:t>≥5家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补贴完成率</w:t>
            </w:r>
          </w:p>
        </w:tc>
        <w:tc>
          <w:tcPr>
            <w:tcW w:w="3430" w:type="dxa"/>
            <w:vAlign w:val="center"/>
          </w:tcPr>
          <w:p>
            <w:pPr>
              <w:pStyle w:val="16"/>
            </w:pPr>
            <w:r>
              <w:t>补贴完成率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2023年12月底前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预算资金</w:t>
            </w:r>
          </w:p>
        </w:tc>
        <w:tc>
          <w:tcPr>
            <w:tcW w:w="3430" w:type="dxa"/>
            <w:vAlign w:val="center"/>
          </w:tcPr>
          <w:p>
            <w:pPr>
              <w:pStyle w:val="16"/>
            </w:pPr>
            <w:r>
              <w:t>预算资金</w:t>
            </w:r>
          </w:p>
        </w:tc>
        <w:tc>
          <w:tcPr>
            <w:tcW w:w="2551" w:type="dxa"/>
            <w:vAlign w:val="center"/>
          </w:tcPr>
          <w:p>
            <w:pPr>
              <w:pStyle w:val="16"/>
            </w:pPr>
            <w:r>
              <w:t>≤4750万元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加大我市充电基础设施建设力度</w:t>
            </w:r>
          </w:p>
        </w:tc>
        <w:tc>
          <w:tcPr>
            <w:tcW w:w="3430" w:type="dxa"/>
            <w:vAlign w:val="center"/>
          </w:tcPr>
          <w:p>
            <w:pPr>
              <w:pStyle w:val="16"/>
            </w:pPr>
            <w:r>
              <w:t>满足新能源汽车充电需求</w:t>
            </w:r>
          </w:p>
        </w:tc>
        <w:tc>
          <w:tcPr>
            <w:tcW w:w="2551" w:type="dxa"/>
            <w:vAlign w:val="center"/>
          </w:tcPr>
          <w:p>
            <w:pPr>
              <w:pStyle w:val="16"/>
            </w:pPr>
            <w:r>
              <w:t>≥3万辆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受补助企业满意度</w:t>
            </w:r>
          </w:p>
        </w:tc>
        <w:tc>
          <w:tcPr>
            <w:tcW w:w="3430" w:type="dxa"/>
            <w:vAlign w:val="center"/>
          </w:tcPr>
          <w:p>
            <w:pPr>
              <w:pStyle w:val="16"/>
            </w:pPr>
            <w:r>
              <w:t>受补助企业满意度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4" w:name="_Toc157759620"/>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5</w:t>
      </w:r>
      <w:r>
        <w:rPr>
          <w:rFonts w:ascii="方正仿宋_GBK" w:hAnsi="方正仿宋_GBK" w:eastAsia="方正仿宋_GBK" w:cs="方正仿宋_GBK"/>
          <w:sz w:val="28"/>
        </w:rPr>
        <w:t>.市发改委一般债券还款利息-2024债券利息绩效目标表</w:t>
      </w:r>
      <w:bookmarkEnd w:id="1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市发改委一般债券还款利息-2024债券利息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27.79</w:t>
            </w:r>
          </w:p>
        </w:tc>
        <w:tc>
          <w:tcPr>
            <w:tcW w:w="1587" w:type="dxa"/>
            <w:vAlign w:val="center"/>
          </w:tcPr>
          <w:p>
            <w:pPr>
              <w:pStyle w:val="17"/>
            </w:pPr>
            <w:r>
              <w:t>其中：财政    资金</w:t>
            </w:r>
          </w:p>
        </w:tc>
        <w:tc>
          <w:tcPr>
            <w:tcW w:w="1843" w:type="dxa"/>
            <w:vAlign w:val="center"/>
          </w:tcPr>
          <w:p>
            <w:pPr>
              <w:pStyle w:val="16"/>
            </w:pPr>
            <w:r>
              <w:t>27.79</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一般债券利息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1.一般债券利息项目</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偿还利息项目数</w:t>
            </w:r>
          </w:p>
        </w:tc>
        <w:tc>
          <w:tcPr>
            <w:tcW w:w="3430" w:type="dxa"/>
            <w:vAlign w:val="center"/>
          </w:tcPr>
          <w:p>
            <w:pPr>
              <w:pStyle w:val="16"/>
            </w:pPr>
            <w:r>
              <w:t>偿还利息项目数</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利息偿还率</w:t>
            </w:r>
          </w:p>
        </w:tc>
        <w:tc>
          <w:tcPr>
            <w:tcW w:w="3430" w:type="dxa"/>
            <w:vAlign w:val="center"/>
          </w:tcPr>
          <w:p>
            <w:pPr>
              <w:pStyle w:val="16"/>
            </w:pPr>
            <w:r>
              <w:t>利息偿还率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按时偿还利息</w:t>
            </w:r>
          </w:p>
        </w:tc>
        <w:tc>
          <w:tcPr>
            <w:tcW w:w="3430" w:type="dxa"/>
            <w:vAlign w:val="center"/>
          </w:tcPr>
          <w:p>
            <w:pPr>
              <w:pStyle w:val="16"/>
            </w:pPr>
            <w:r>
              <w:t>按时偿还利息</w:t>
            </w:r>
          </w:p>
        </w:tc>
        <w:tc>
          <w:tcPr>
            <w:tcW w:w="2551" w:type="dxa"/>
            <w:vAlign w:val="center"/>
          </w:tcPr>
          <w:p>
            <w:pPr>
              <w:pStyle w:val="16"/>
            </w:pPr>
            <w:r>
              <w:t>按时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利息支出金额</w:t>
            </w:r>
          </w:p>
        </w:tc>
        <w:tc>
          <w:tcPr>
            <w:tcW w:w="3430" w:type="dxa"/>
            <w:vAlign w:val="center"/>
          </w:tcPr>
          <w:p>
            <w:pPr>
              <w:pStyle w:val="16"/>
            </w:pPr>
            <w:r>
              <w:t>利息支出金额</w:t>
            </w:r>
          </w:p>
        </w:tc>
        <w:tc>
          <w:tcPr>
            <w:tcW w:w="2551" w:type="dxa"/>
            <w:vAlign w:val="center"/>
          </w:tcPr>
          <w:p>
            <w:pPr>
              <w:pStyle w:val="16"/>
            </w:pPr>
            <w:r>
              <w:t>27.79万元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提高一般债使用率</w:t>
            </w:r>
          </w:p>
        </w:tc>
        <w:tc>
          <w:tcPr>
            <w:tcW w:w="3430" w:type="dxa"/>
            <w:vAlign w:val="center"/>
          </w:tcPr>
          <w:p>
            <w:pPr>
              <w:pStyle w:val="16"/>
            </w:pPr>
            <w:r>
              <w:t>提高一般债使用率</w:t>
            </w:r>
          </w:p>
        </w:tc>
        <w:tc>
          <w:tcPr>
            <w:tcW w:w="2551" w:type="dxa"/>
            <w:vAlign w:val="center"/>
          </w:tcPr>
          <w:p>
            <w:pPr>
              <w:pStyle w:val="16"/>
            </w:pPr>
            <w:r>
              <w:t>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债券人满意度</w:t>
            </w:r>
          </w:p>
        </w:tc>
        <w:tc>
          <w:tcPr>
            <w:tcW w:w="3430" w:type="dxa"/>
            <w:vAlign w:val="center"/>
          </w:tcPr>
          <w:p>
            <w:pPr>
              <w:pStyle w:val="16"/>
            </w:pPr>
            <w:r>
              <w:t>债券人满意度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5" w:name="_Toc157759622"/>
      <w:r>
        <w:rPr>
          <w:rFonts w:ascii="方正仿宋_GBK" w:hAnsi="方正仿宋_GBK" w:eastAsia="方正仿宋_GBK" w:cs="方正仿宋_GBK"/>
          <w:sz w:val="28"/>
        </w:rPr>
        <w:t>1</w:t>
      </w:r>
      <w:r>
        <w:rPr>
          <w:rFonts w:hint="eastAsia" w:ascii="方正仿宋_GBK" w:hAnsi="方正仿宋_GBK" w:eastAsia="方正仿宋_GBK" w:cs="方正仿宋_GBK"/>
          <w:sz w:val="28"/>
          <w:lang w:val="en-US" w:eastAsia="zh-CN"/>
        </w:rPr>
        <w:t>6</w:t>
      </w:r>
      <w:r>
        <w:rPr>
          <w:rFonts w:ascii="方正仿宋_GBK" w:hAnsi="方正仿宋_GBK" w:eastAsia="方正仿宋_GBK" w:cs="方正仿宋_GBK"/>
          <w:sz w:val="28"/>
        </w:rPr>
        <w:t>.制造业方向-2024年中小企业发展专项（民营经济）绩效目标表</w:t>
      </w:r>
      <w:bookmarkEnd w:id="15"/>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321101天津市发展和改革委员会办公室</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制造业方向-2024年中小企业发展专项（民营经济）</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211.00</w:t>
            </w:r>
          </w:p>
        </w:tc>
        <w:tc>
          <w:tcPr>
            <w:tcW w:w="1587" w:type="dxa"/>
            <w:vAlign w:val="center"/>
          </w:tcPr>
          <w:p>
            <w:pPr>
              <w:pStyle w:val="17"/>
            </w:pPr>
            <w:r>
              <w:t>其中：财政    资金</w:t>
            </w:r>
          </w:p>
        </w:tc>
        <w:tc>
          <w:tcPr>
            <w:tcW w:w="1843" w:type="dxa"/>
            <w:vAlign w:val="center"/>
          </w:tcPr>
          <w:p>
            <w:pPr>
              <w:pStyle w:val="16"/>
            </w:pPr>
            <w:r>
              <w:t>211.00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1.进一步激发民营企业活力和创造力，推动民营企业改革创新，实现民营经济高质量发展，我委会同市财政局、市人社局、市科协等单位组织奖励资助。2.按照与第三方评估机构签订的世界一流企业成长性评估合同支付尾款，加快推进我市世界一流企业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1.进一步激发民营企业活力和创造力，推动民营企业改革创新，实现民营经济高质量发展，我委会同市财政局、市人社局、市科协等单位组织奖励资助。</w:t>
            </w:r>
          </w:p>
          <w:p>
            <w:pPr>
              <w:pStyle w:val="16"/>
            </w:pPr>
            <w:r>
              <w:t>2.按照与第三方评估机构签订的世界一流企业成长性评估合同支付尾款，加快推进我市世界一流企业建设。</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资助企业数量（对应目标1）</w:t>
            </w:r>
          </w:p>
        </w:tc>
        <w:tc>
          <w:tcPr>
            <w:tcW w:w="3430" w:type="dxa"/>
            <w:vAlign w:val="center"/>
          </w:tcPr>
          <w:p>
            <w:pPr>
              <w:pStyle w:val="16"/>
            </w:pPr>
            <w:r>
              <w:t>资助企业数量（对应目标1）</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履行合同数量（对应目标2）</w:t>
            </w:r>
          </w:p>
        </w:tc>
        <w:tc>
          <w:tcPr>
            <w:tcW w:w="3430" w:type="dxa"/>
            <w:vAlign w:val="center"/>
          </w:tcPr>
          <w:p>
            <w:pPr>
              <w:pStyle w:val="16"/>
            </w:pPr>
            <w:r>
              <w:t>履行合同数量（对应目标2）</w:t>
            </w:r>
          </w:p>
        </w:tc>
        <w:tc>
          <w:tcPr>
            <w:tcW w:w="2551" w:type="dxa"/>
            <w:vAlign w:val="center"/>
          </w:tcPr>
          <w:p>
            <w:pPr>
              <w:pStyle w:val="16"/>
            </w:pPr>
            <w:r>
              <w:t>1个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资助企业条件符合率（对应目标1）</w:t>
            </w:r>
          </w:p>
        </w:tc>
        <w:tc>
          <w:tcPr>
            <w:tcW w:w="3430" w:type="dxa"/>
            <w:vAlign w:val="center"/>
          </w:tcPr>
          <w:p>
            <w:pPr>
              <w:pStyle w:val="16"/>
            </w:pPr>
            <w:r>
              <w:t>资助企业条件符合率（对应目标1）</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尾款资金到位率（对应目标2）</w:t>
            </w:r>
          </w:p>
        </w:tc>
        <w:tc>
          <w:tcPr>
            <w:tcW w:w="3430" w:type="dxa"/>
            <w:vAlign w:val="center"/>
          </w:tcPr>
          <w:p>
            <w:pPr>
              <w:pStyle w:val="16"/>
            </w:pPr>
            <w:r>
              <w:t>尾款资金到位率（对应目标2）</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补助发放完成时间（对应目标1）</w:t>
            </w:r>
          </w:p>
        </w:tc>
        <w:tc>
          <w:tcPr>
            <w:tcW w:w="3430" w:type="dxa"/>
            <w:vAlign w:val="center"/>
          </w:tcPr>
          <w:p>
            <w:pPr>
              <w:pStyle w:val="16"/>
            </w:pPr>
            <w:r>
              <w:t>补助发放完成时间（对应目标1）</w:t>
            </w:r>
          </w:p>
        </w:tc>
        <w:tc>
          <w:tcPr>
            <w:tcW w:w="2551" w:type="dxa"/>
            <w:vAlign w:val="center"/>
          </w:tcPr>
          <w:p>
            <w:pPr>
              <w:pStyle w:val="16"/>
            </w:pPr>
            <w:r>
              <w:t>2024年12月底前发放到位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尾款结算时间（对应目标2）</w:t>
            </w:r>
          </w:p>
        </w:tc>
        <w:tc>
          <w:tcPr>
            <w:tcW w:w="3430" w:type="dxa"/>
            <w:vAlign w:val="center"/>
          </w:tcPr>
          <w:p>
            <w:pPr>
              <w:pStyle w:val="16"/>
            </w:pPr>
            <w:r>
              <w:t>尾款结算时间（对应目标2）</w:t>
            </w:r>
          </w:p>
        </w:tc>
        <w:tc>
          <w:tcPr>
            <w:tcW w:w="2551" w:type="dxa"/>
            <w:vAlign w:val="center"/>
          </w:tcPr>
          <w:p>
            <w:pPr>
              <w:pStyle w:val="16"/>
            </w:pPr>
            <w:r>
              <w:t>2024年12月底前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资助企业及评审金额（对应目标1）</w:t>
            </w:r>
          </w:p>
        </w:tc>
        <w:tc>
          <w:tcPr>
            <w:tcW w:w="3430" w:type="dxa"/>
            <w:vAlign w:val="center"/>
          </w:tcPr>
          <w:p>
            <w:pPr>
              <w:pStyle w:val="16"/>
            </w:pPr>
            <w:r>
              <w:t>资助企业及评审金额（对应目标1）</w:t>
            </w:r>
          </w:p>
        </w:tc>
        <w:tc>
          <w:tcPr>
            <w:tcW w:w="2551" w:type="dxa"/>
            <w:vAlign w:val="center"/>
          </w:tcPr>
          <w:p>
            <w:pPr>
              <w:pStyle w:val="16"/>
            </w:pPr>
            <w:r>
              <w:t>≤180.2万元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合同尾款及评审金额（对应目标2）</w:t>
            </w:r>
          </w:p>
        </w:tc>
        <w:tc>
          <w:tcPr>
            <w:tcW w:w="3430" w:type="dxa"/>
            <w:vAlign w:val="center"/>
          </w:tcPr>
          <w:p>
            <w:pPr>
              <w:pStyle w:val="16"/>
            </w:pPr>
            <w:r>
              <w:t>合同尾款及评审金额（对应目标2）</w:t>
            </w:r>
          </w:p>
        </w:tc>
        <w:tc>
          <w:tcPr>
            <w:tcW w:w="2551" w:type="dxa"/>
            <w:vAlign w:val="center"/>
          </w:tcPr>
          <w:p>
            <w:pPr>
              <w:pStyle w:val="16"/>
            </w:pPr>
            <w:r>
              <w:t>≤30.8万元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推动我市民营经济高质量发展（对应目标1）</w:t>
            </w:r>
          </w:p>
        </w:tc>
        <w:tc>
          <w:tcPr>
            <w:tcW w:w="3430" w:type="dxa"/>
            <w:vAlign w:val="center"/>
          </w:tcPr>
          <w:p>
            <w:pPr>
              <w:pStyle w:val="16"/>
            </w:pPr>
            <w:r>
              <w:t>推动我市民营经济高质量发展（对应目标1）</w:t>
            </w:r>
          </w:p>
        </w:tc>
        <w:tc>
          <w:tcPr>
            <w:tcW w:w="2551" w:type="dxa"/>
            <w:vAlign w:val="center"/>
          </w:tcPr>
          <w:p>
            <w:pPr>
              <w:pStyle w:val="16"/>
            </w:pPr>
            <w:r>
              <w:t>促进民营经济高质量发展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加快推进我市世界一流企业建设（对应目标2）</w:t>
            </w:r>
          </w:p>
        </w:tc>
        <w:tc>
          <w:tcPr>
            <w:tcW w:w="3430" w:type="dxa"/>
            <w:vAlign w:val="center"/>
          </w:tcPr>
          <w:p>
            <w:pPr>
              <w:pStyle w:val="16"/>
            </w:pPr>
            <w:r>
              <w:t>加快推进我市世界一流企业建设（对应目标2）</w:t>
            </w:r>
          </w:p>
        </w:tc>
        <w:tc>
          <w:tcPr>
            <w:tcW w:w="2551" w:type="dxa"/>
            <w:vAlign w:val="center"/>
          </w:tcPr>
          <w:p>
            <w:pPr>
              <w:pStyle w:val="16"/>
            </w:pPr>
            <w:r>
              <w:t>加快推进我市世界一流企业建设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企业满意度</w:t>
            </w:r>
          </w:p>
        </w:tc>
        <w:tc>
          <w:tcPr>
            <w:tcW w:w="3430" w:type="dxa"/>
            <w:vAlign w:val="center"/>
          </w:tcPr>
          <w:p>
            <w:pPr>
              <w:pStyle w:val="16"/>
            </w:pPr>
            <w:r>
              <w:t>企业满意度</w:t>
            </w:r>
          </w:p>
        </w:tc>
        <w:tc>
          <w:tcPr>
            <w:tcW w:w="2551" w:type="dxa"/>
            <w:vAlign w:val="center"/>
          </w:tcPr>
          <w:p>
            <w:pPr>
              <w:pStyle w:val="16"/>
            </w:pPr>
            <w:r>
              <w:t>≥90%</w:t>
            </w:r>
          </w:p>
        </w:tc>
      </w:tr>
    </w:tbl>
    <w:p>
      <w:pPr>
        <w:jc w:val="both"/>
      </w:pPr>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roman"/>
    <w:pitch w:val="default"/>
    <w:sig w:usb0="00000001" w:usb1="08000000" w:usb2="00000000" w:usb3="00000000" w:csb0="00040000" w:csb1="00000000"/>
  </w:font>
  <w:font w:name="方正书宋_GBK">
    <w:panose1 w:val="02000000000000000000"/>
    <w:charset w:val="86"/>
    <w:family w:val="roman"/>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roman"/>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965"/>
    <w:rsid w:val="00662470"/>
    <w:rsid w:val="00973965"/>
    <w:rsid w:val="009A3DCB"/>
    <w:rsid w:val="4FB959AA"/>
    <w:rsid w:val="559ED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0"/>
    <w:unhideWhenUsed/>
    <w:qFormat/>
    <w:uiPriority w:val="99"/>
    <w:pPr>
      <w:tabs>
        <w:tab w:val="center" w:pos="4153"/>
        <w:tab w:val="right" w:pos="8306"/>
      </w:tabs>
      <w:snapToGrid w:val="0"/>
    </w:pPr>
    <w:rPr>
      <w:sz w:val="18"/>
      <w:szCs w:val="18"/>
    </w:rPr>
  </w:style>
  <w:style w:type="paragraph" w:styleId="3">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pacing w:before="120"/>
    </w:pPr>
    <w:rPr>
      <w:rFonts w:eastAsia="方正仿宋_GBK"/>
      <w:color w:val="000000"/>
      <w:sz w:val="28"/>
    </w:rPr>
  </w:style>
  <w:style w:type="paragraph" w:styleId="5">
    <w:name w:val="toc 4"/>
    <w:basedOn w:val="1"/>
    <w:next w:val="1"/>
    <w:qFormat/>
    <w:uiPriority w:val="39"/>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paragraph" w:customStyle="1" w:styleId="11">
    <w:name w:val="插入文本样式-插入总体目标文件"/>
    <w:basedOn w:val="1"/>
    <w:qFormat/>
    <w:uiPriority w:val="0"/>
    <w:pPr>
      <w:spacing w:line="500" w:lineRule="exact"/>
      <w:ind w:firstLine="560"/>
    </w:pPr>
    <w:rPr>
      <w:rFonts w:eastAsia="方正仿宋_GBK"/>
      <w:sz w:val="28"/>
    </w:rPr>
  </w:style>
  <w:style w:type="paragraph" w:customStyle="1" w:styleId="12">
    <w:name w:val="插入文本样式-插入职责分类绩效目标文件"/>
    <w:basedOn w:val="1"/>
    <w:qFormat/>
    <w:uiPriority w:val="0"/>
    <w:pPr>
      <w:spacing w:line="500" w:lineRule="exact"/>
      <w:ind w:firstLine="560"/>
    </w:pPr>
    <w:rPr>
      <w:rFonts w:eastAsia="方正仿宋_GBK"/>
      <w:sz w:val="28"/>
    </w:rPr>
  </w:style>
  <w:style w:type="paragraph" w:customStyle="1" w:styleId="1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14">
    <w:name w:val="单元格样式4"/>
    <w:basedOn w:val="1"/>
    <w:qFormat/>
    <w:uiPriority w:val="0"/>
    <w:pPr>
      <w:jc w:val="right"/>
    </w:pPr>
    <w:rPr>
      <w:rFonts w:ascii="方正书宋_GBK" w:hAnsi="方正书宋_GBK" w:eastAsia="方正书宋_GBK" w:cs="方正书宋_GBK"/>
      <w:sz w:val="21"/>
    </w:rPr>
  </w:style>
  <w:style w:type="paragraph" w:customStyle="1" w:styleId="15">
    <w:name w:val="单元格样式5"/>
    <w:basedOn w:val="1"/>
    <w:qFormat/>
    <w:uiPriority w:val="0"/>
    <w:rPr>
      <w:rFonts w:ascii="方正书宋_GBK" w:hAnsi="方正书宋_GBK" w:eastAsia="方正书宋_GBK" w:cs="方正书宋_GBK"/>
      <w:b/>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character" w:customStyle="1" w:styleId="19">
    <w:name w:val="页眉 Char"/>
    <w:basedOn w:val="9"/>
    <w:link w:val="3"/>
    <w:qFormat/>
    <w:uiPriority w:val="99"/>
    <w:rPr>
      <w:rFonts w:eastAsia="Times New Roman"/>
      <w:sz w:val="18"/>
      <w:szCs w:val="18"/>
      <w:lang w:eastAsia="uk-UA"/>
    </w:rPr>
  </w:style>
  <w:style w:type="character" w:customStyle="1" w:styleId="20">
    <w:name w:val="页脚 Char"/>
    <w:basedOn w:val="9"/>
    <w:link w:val="2"/>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2887</Words>
  <Characters>16456</Characters>
  <Lines>137</Lines>
  <Paragraphs>38</Paragraphs>
  <TotalTime>22</TotalTime>
  <ScaleCrop>false</ScaleCrop>
  <LinksUpToDate>false</LinksUpToDate>
  <CharactersWithSpaces>19305</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2024-02-02T02:37:00Z</dcterms:created>
  <dc:creator>sugon</dc:creator>
  <cp:lastModifiedBy>sugon</cp:lastModifiedBy>
  <dcterms:modified xsi:type="dcterms:W3CDTF">2024-03-01T17:29:13Z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