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</w:t>
      </w: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节能环保中心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（2024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  <w:r>
        <w:rPr>
          <w:rFonts w:hint="eastAsia" w:ascii="宋体" w:hAnsi="宋体" w:eastAsia="宋体" w:cs="宋体"/>
          <w:sz w:val="21"/>
          <w:lang w:val="uk-UA"/>
        </w:rPr>
        <w:t xml:space="preserve"> </w:t>
      </w:r>
    </w:p>
    <w:p>
      <w:pPr>
        <w:jc w:val="center"/>
      </w:pPr>
      <w:r>
        <w:rPr>
          <w:rFonts w:hint="eastAsia" w:ascii="宋体" w:hAnsi="宋体" w:eastAsia="宋体" w:cs="宋体"/>
          <w:sz w:val="21"/>
        </w:rPr>
        <w:t xml:space="preserve"> </w:t>
      </w:r>
    </w:p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5"/>
        <w:tabs>
          <w:tab w:val="right" w:pos="9282"/>
        </w:tabs>
        <w:rPr>
          <w:rStyle w:val="10"/>
          <w:rFonts w:hint="eastAsia" w:ascii="方正仿宋_GBK" w:hAnsi="方正仿宋_GBK" w:eastAsia="方正仿宋_GBK" w:cs="方正仿宋_GBK"/>
          <w:lang w:val="en-US" w:eastAsia="zh-CN"/>
        </w:rPr>
      </w:pP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fldChar w:fldCharType="begin"/>
      </w: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instrText xml:space="preserve"> HYPERLINK \l "_Toc157759623" </w:instrText>
      </w: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t>1.2024年节能、清洁生产执法检查等工作保障经费绩效目标表</w:t>
      </w: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ind w:firstLine="560"/>
        <w:outlineLvl w:val="3"/>
      </w:pPr>
      <w:bookmarkStart w:id="0" w:name="_Toc157759624"/>
      <w:r>
        <w:rPr>
          <w:rFonts w:ascii="方正仿宋_GBK" w:hAnsi="方正仿宋_GBK" w:eastAsia="方正仿宋_GBK" w:cs="方正仿宋_GBK"/>
          <w:sz w:val="28"/>
        </w:rPr>
        <w:t>1.2024年节能、清洁生产执法检查等工作保障经费绩效目标表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321206天津市节能环保中心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2024年节能、清洁生产执法检查等工作保障经费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1.完成47家重点用能单位、固定资产投资项目、节能服务机构的节能监察，完成16家企业清洁生产执法检查；</w:t>
            </w:r>
            <w:bookmarkStart w:id="1" w:name="_GoBack"/>
            <w:bookmarkEnd w:id="1"/>
          </w:p>
          <w:p>
            <w:pPr>
              <w:pStyle w:val="16"/>
            </w:pPr>
            <w:r>
              <w:t>2.完成2次普法宣传、培训。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1.完成47家重点用能单位、固定资产投资项目、节能服务机构的节能监察，完成16家企业清洁生产执法检查；</w:t>
            </w:r>
          </w:p>
          <w:p>
            <w:pPr>
              <w:pStyle w:val="16"/>
            </w:pPr>
            <w:r>
              <w:t>2.完成2次普法宣传、培训。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普法宣传、培训次数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培训次数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开展执法检查次数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开展执法检查次数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≥63次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执法监督平台录入案件合格率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按规定在执法监督平台录入案件合格率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完成执法检查时间 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完成执法检查时间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2024年12月31日前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节能、清洁生产领域执法检查支撑保障、普法宣传和培训、推动相关标准贯彻执行和制修定等工作费用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执法检查成本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依法检查企业落实节能、清洁生产法律法规情况，促进企业节能降耗，绿色低碳高质量发展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依法检查企业落实节能、清洁生产法律法规情况，促进企业节能降耗，绿色低碳高质量发展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严格落实行政执法有关规定，依法规范开展执法检查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执法对象满意度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行政复议、行政诉讼案件占比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≤5%</w:t>
            </w:r>
          </w:p>
        </w:tc>
      </w:tr>
    </w:tbl>
    <w:p>
      <w:pPr>
        <w:jc w:val="both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65"/>
    <w:rsid w:val="00662470"/>
    <w:rsid w:val="00973965"/>
    <w:rsid w:val="009A3DCB"/>
    <w:rsid w:val="31EEBEE0"/>
    <w:rsid w:val="B0FE2CDB"/>
    <w:rsid w:val="F74E71CF"/>
    <w:rsid w:val="F7DF8826"/>
    <w:rsid w:val="FFD6E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9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9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2887</Words>
  <Characters>16456</Characters>
  <Lines>137</Lines>
  <Paragraphs>38</Paragraphs>
  <TotalTime>4</TotalTime>
  <ScaleCrop>false</ScaleCrop>
  <LinksUpToDate>false</LinksUpToDate>
  <CharactersWithSpaces>19305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2024-02-02T18:37:00Z</dcterms:created>
  <dc:creator>sugon</dc:creator>
  <cp:lastModifiedBy>杨亚鹏</cp:lastModifiedBy>
  <dcterms:modified xsi:type="dcterms:W3CDTF">2024-02-29T10:52:08Z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