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43" w:rsidRDefault="00D12743">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D12743" w:rsidRDefault="00D12743">
      <w:pPr>
        <w:autoSpaceDE w:val="0"/>
        <w:autoSpaceDN w:val="0"/>
        <w:adjustRightInd w:val="0"/>
        <w:jc w:val="center"/>
        <w:rPr>
          <w:rFonts w:ascii="Times New Roman" w:eastAsia="方正小标宋简体" w:hAnsi="Times New Roman" w:cs="方正小标宋简体"/>
          <w:kern w:val="0"/>
          <w:sz w:val="48"/>
          <w:szCs w:val="48"/>
          <w:lang w:val="zh-CN"/>
        </w:rPr>
      </w:pPr>
    </w:p>
    <w:p w:rsidR="00D12743" w:rsidRDefault="00D12743">
      <w:pPr>
        <w:autoSpaceDE w:val="0"/>
        <w:autoSpaceDN w:val="0"/>
        <w:adjustRightInd w:val="0"/>
        <w:jc w:val="center"/>
        <w:rPr>
          <w:rFonts w:ascii="Times New Roman" w:eastAsia="方正小标宋简体" w:hAnsi="Times New Roman" w:cs="方正小标宋简体"/>
          <w:kern w:val="0"/>
          <w:sz w:val="48"/>
          <w:szCs w:val="48"/>
          <w:lang w:val="zh-CN"/>
        </w:rPr>
      </w:pPr>
    </w:p>
    <w:p w:rsidR="00D12743" w:rsidRDefault="00D12743">
      <w:pPr>
        <w:autoSpaceDE w:val="0"/>
        <w:autoSpaceDN w:val="0"/>
        <w:adjustRightInd w:val="0"/>
        <w:jc w:val="center"/>
        <w:rPr>
          <w:rFonts w:ascii="Times New Roman" w:eastAsia="方正小标宋简体" w:hAnsi="Times New Roman" w:cs="方正小标宋简体"/>
          <w:kern w:val="0"/>
          <w:sz w:val="48"/>
          <w:szCs w:val="48"/>
          <w:lang w:val="zh-CN"/>
        </w:rPr>
      </w:pPr>
    </w:p>
    <w:p w:rsidR="00D12743" w:rsidRDefault="00D12743">
      <w:pPr>
        <w:autoSpaceDE w:val="0"/>
        <w:autoSpaceDN w:val="0"/>
        <w:adjustRightInd w:val="0"/>
        <w:jc w:val="center"/>
        <w:rPr>
          <w:rFonts w:ascii="Times New Roman" w:eastAsia="方正小标宋简体" w:hAnsi="Times New Roman" w:cs="方正小标宋简体"/>
          <w:kern w:val="0"/>
          <w:sz w:val="48"/>
          <w:szCs w:val="48"/>
          <w:lang w:val="zh-CN"/>
        </w:rPr>
      </w:pPr>
    </w:p>
    <w:p w:rsidR="00D12743" w:rsidRDefault="00D12743">
      <w:pPr>
        <w:autoSpaceDE w:val="0"/>
        <w:autoSpaceDN w:val="0"/>
        <w:adjustRightInd w:val="0"/>
        <w:jc w:val="center"/>
        <w:rPr>
          <w:rFonts w:ascii="Times New Roman" w:eastAsia="方正小标宋简体" w:hAnsi="Times New Roman" w:cs="方正小标宋简体"/>
          <w:kern w:val="0"/>
          <w:sz w:val="48"/>
          <w:szCs w:val="48"/>
          <w:lang w:val="zh-CN"/>
        </w:rPr>
      </w:pPr>
    </w:p>
    <w:p w:rsidR="00D12743" w:rsidRDefault="00D12743">
      <w:pPr>
        <w:autoSpaceDE w:val="0"/>
        <w:autoSpaceDN w:val="0"/>
        <w:adjustRightInd w:val="0"/>
        <w:jc w:val="center"/>
        <w:rPr>
          <w:rFonts w:ascii="Times New Roman" w:eastAsia="方正小标宋简体" w:hAnsi="Times New Roman" w:cs="方正小标宋简体"/>
          <w:kern w:val="0"/>
          <w:sz w:val="48"/>
          <w:szCs w:val="48"/>
          <w:lang w:val="zh-CN"/>
        </w:rPr>
      </w:pPr>
    </w:p>
    <w:p w:rsidR="00D12743" w:rsidRDefault="00D12743">
      <w:pPr>
        <w:autoSpaceDE w:val="0"/>
        <w:autoSpaceDN w:val="0"/>
        <w:adjustRightInd w:val="0"/>
        <w:jc w:val="center"/>
        <w:rPr>
          <w:rFonts w:ascii="Times New Roman" w:eastAsia="方正小标宋简体" w:hAnsi="Times New Roman" w:cs="方正小标宋简体"/>
          <w:kern w:val="0"/>
          <w:sz w:val="48"/>
          <w:szCs w:val="48"/>
          <w:lang w:val="zh-CN"/>
        </w:rPr>
      </w:pPr>
    </w:p>
    <w:p w:rsidR="00CB5742" w:rsidRDefault="00A60B98">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天津市发展和改革委员会（本级）</w:t>
      </w:r>
    </w:p>
    <w:p w:rsidR="00D12743" w:rsidRDefault="00A60B98" w:rsidP="00CB574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D12743" w:rsidRDefault="00D12743">
      <w:pPr>
        <w:autoSpaceDE w:val="0"/>
        <w:autoSpaceDN w:val="0"/>
        <w:adjustRightInd w:val="0"/>
        <w:spacing w:line="580" w:lineRule="exact"/>
        <w:jc w:val="center"/>
        <w:rPr>
          <w:rFonts w:ascii="Times New Roman" w:eastAsia="黑体" w:hAnsi="Times New Roman" w:cs="黑体"/>
          <w:sz w:val="30"/>
          <w:szCs w:val="30"/>
        </w:rPr>
      </w:pPr>
    </w:p>
    <w:p w:rsidR="00D12743" w:rsidRDefault="00D12743">
      <w:pPr>
        <w:autoSpaceDE w:val="0"/>
        <w:autoSpaceDN w:val="0"/>
        <w:adjustRightInd w:val="0"/>
        <w:spacing w:line="580" w:lineRule="exact"/>
        <w:jc w:val="center"/>
        <w:rPr>
          <w:rFonts w:ascii="Times New Roman" w:eastAsia="黑体" w:hAnsi="Times New Roman" w:cs="黑体"/>
          <w:sz w:val="30"/>
          <w:szCs w:val="30"/>
        </w:rPr>
      </w:pPr>
    </w:p>
    <w:p w:rsidR="00D12743" w:rsidRDefault="00D12743">
      <w:pPr>
        <w:autoSpaceDE w:val="0"/>
        <w:autoSpaceDN w:val="0"/>
        <w:adjustRightInd w:val="0"/>
        <w:spacing w:line="580" w:lineRule="exact"/>
        <w:jc w:val="center"/>
        <w:rPr>
          <w:rFonts w:ascii="Times New Roman" w:eastAsia="黑体" w:hAnsi="Times New Roman" w:cs="黑体"/>
          <w:sz w:val="30"/>
          <w:szCs w:val="30"/>
        </w:rPr>
      </w:pPr>
    </w:p>
    <w:p w:rsidR="00D12743" w:rsidRDefault="00D12743">
      <w:pPr>
        <w:autoSpaceDE w:val="0"/>
        <w:autoSpaceDN w:val="0"/>
        <w:adjustRightInd w:val="0"/>
        <w:spacing w:line="580" w:lineRule="exact"/>
        <w:jc w:val="center"/>
        <w:rPr>
          <w:rFonts w:ascii="Times New Roman" w:eastAsia="黑体" w:hAnsi="Times New Roman" w:cs="黑体"/>
          <w:sz w:val="30"/>
          <w:szCs w:val="30"/>
        </w:rPr>
      </w:pPr>
    </w:p>
    <w:p w:rsidR="00D12743" w:rsidRDefault="00D12743">
      <w:pPr>
        <w:autoSpaceDE w:val="0"/>
        <w:autoSpaceDN w:val="0"/>
        <w:adjustRightInd w:val="0"/>
        <w:spacing w:line="580" w:lineRule="exact"/>
        <w:jc w:val="center"/>
        <w:rPr>
          <w:rFonts w:ascii="Times New Roman" w:eastAsia="黑体" w:hAnsi="Times New Roman" w:cs="黑体"/>
          <w:sz w:val="30"/>
          <w:szCs w:val="30"/>
        </w:rPr>
      </w:pPr>
    </w:p>
    <w:p w:rsidR="00D12743" w:rsidRDefault="00A60B9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D12743" w:rsidRDefault="00A60B9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D12743" w:rsidRDefault="00D12743">
      <w:pPr>
        <w:autoSpaceDE w:val="0"/>
        <w:autoSpaceDN w:val="0"/>
        <w:adjustRightInd w:val="0"/>
        <w:spacing w:line="600" w:lineRule="exact"/>
        <w:jc w:val="left"/>
        <w:rPr>
          <w:rFonts w:ascii="Times New Roman" w:eastAsia="黑体" w:hAnsi="Times New Roman" w:cs="黑体"/>
          <w:kern w:val="0"/>
          <w:sz w:val="30"/>
          <w:szCs w:val="30"/>
        </w:rPr>
      </w:pPr>
    </w:p>
    <w:p w:rsidR="00D12743" w:rsidRDefault="00A60B9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D12743" w:rsidRDefault="00A60B9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D12743" w:rsidRDefault="00A60B9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D12743" w:rsidRDefault="00A60B9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D12743" w:rsidRDefault="00A60B9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D12743" w:rsidRDefault="00A60B98">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D12743" w:rsidRDefault="00A60B9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D12743" w:rsidRDefault="00A60B98">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D12743" w:rsidRDefault="00A60B9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（一）贯彻执行国家有关国民经济和社会发展、经济体制改革、对外开放和价格管理等方面的法律、法规和方针、政策，研究起草有关地方性法规、规章草案，并组织实施。</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二）拟订国民经济和社会发展战略、中长期规划和年度计划，并组织实施。组织、指导编制和衔接平衡各行业规划、专项规划、区域规划。统筹协调经济社会发展和优化重大经济结构的目标、政策，提出综合运用各种调控手段和政策的建议。受市政府委托向市人大提交国民经济和社会发展计划的报告。牵头组织重大、较大、一般自然灾害的灾后恢复重建规划编制，协调有关重大问题。</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（三）负责监测国民经济和社会发展态势，承担预测预警和信息引导的责任。研究宏观经济运行、总量平衡等重要问题并提出调控政策建议，协调解决经济运行中的重大问题。</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（四）承担综合协调和指导推进经济体制改革的责任。研究经济体制改革方案，协调有关专项经济体制改革方案，会同有关部门搞好重要专项经济体制改革之间的衔接。</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五）负责固定资产投资综合管理。负责规划重大建设项目和生产力布局。拟订全社会固定资产投资总规模和投资结构的调控目标、政策和措施，对需要安排市政府投资和涉及重大建设项目的专项规划进行衔接平衡。会同有关部门提出重点建设项目投资计划，</w:t>
      </w:r>
      <w:r>
        <w:rPr>
          <w:rFonts w:ascii="Times New Roman" w:eastAsia="仿宋_GB2312" w:hAnsi="Times New Roman" w:cs="仿宋_GB2312" w:hint="eastAsia"/>
          <w:sz w:val="30"/>
          <w:szCs w:val="30"/>
        </w:rPr>
        <w:lastRenderedPageBreak/>
        <w:t>并推动实施。安排市政府财政性建设资金。按规定权限，审批、核准、审核、上报建设项目、外资项目、境外投资项目，会同行业主管部门对企业投资项目进行备案。制定和完善政府投资项目后评价管理制度，负责组织重大项目社会稳定风险评估工作。组织推动和协调重大项目的筹划、储备工作。按规定指导和协调招投标工作。负责全口径外债的总量控制、结构优化和监测工作。指导和监督政府国外贷款建设资金的使用，引导民间投资的方向，会同有关部门研究提出利用外资和境外投资的战略、规划、总量平衡和结构优化的目标、政策。</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六）负责汇总分析财政、金融等方面的情况，参与拟订财税政策、金融政策和土地政策。会同有关部门研究拟订政府重大项目融资方案，对全社会建设资金的平衡协调提出意见。统筹金融产业发展规划与国民经济和社会发展规划、计划的衔接平衡。研究提出金融促进经济发展的政策建议。负责组织推进社会信用体系建设工作。参与金融服务、金融风险防范的有关工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七）分析监测预警价格总水平的变动，开展市场价格监测，研究提出调控目标、价格政策措施和改革建议。研究提出政府定价目录调整建议，建立反映市场供求的定价机制，完善价格改革配套机制。拟订政府管理的重要商品、服务价格和收费标准的调整方案，并组织实施。组织重要农产品、重要商品和服务项目的成本调查和监审工作。开展价格鉴定和认定工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lastRenderedPageBreak/>
        <w:t xml:space="preserve">    </w:t>
      </w:r>
      <w:r>
        <w:rPr>
          <w:rFonts w:ascii="Times New Roman" w:eastAsia="仿宋_GB2312" w:hAnsi="Times New Roman" w:cs="仿宋_GB2312" w:hint="eastAsia"/>
          <w:sz w:val="30"/>
          <w:szCs w:val="30"/>
        </w:rPr>
        <w:t>（八）推进经济结构战略性调整，根据国家产业政策，组织拟订本市综合性产业政策，协调第一、二、三产业发展的重大问题并衔接平衡相关发展规划和重大政策，做好与国民经济和社会发展规划、计划的衔接平衡。会同有关部门提出农村经济发展战略及有关政策建议，协调农业和农村经济社会发展的重大问题。会同有关部门拟订服务业、现代物流业发展战略、规划和重大政策。加强中小企业、非国有经济服务体系建设。统筹推进战略性新兴产业发展，组织拟订战略性新兴产业和高技术产业自主创新、产业技术进步的战略、规划和重大政策。指导行业协会改革。</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九）统筹推进区域协同发展，研究制定区域发展战略、规划和政策。研究制定促进区县经济协调发展的重大问题和政策措施，统筹推进城乡一体化发展，研究提出城镇化发展战略、规划和重大政策，负责组织推动示范小城镇建设。负责区县绩效考评和运行考核监测工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（十）分析预测国内外市场状况，研究提出贸易发展战略和措施。组织编制要素市场发展规划，协调流通体制改革中的重大问题。拟订本市储备粮棉糖等战略物资储备的规划和总量计划。</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一）研究社会事业发展相关趋势，综合提出社会发展战略，组织拟订和协调社会发展规划和年度计划。研究拟订人口发展战略、规划及人口政策，协调科技、教育、文化、卫生、体育、旅游、民政、社会管理等领域发展政策，统筹推进基本公共服务体系建设，</w:t>
      </w:r>
      <w:r>
        <w:rPr>
          <w:rFonts w:ascii="Times New Roman" w:eastAsia="仿宋_GB2312" w:hAnsi="Times New Roman" w:cs="仿宋_GB2312" w:hint="eastAsia"/>
          <w:sz w:val="30"/>
          <w:szCs w:val="30"/>
        </w:rPr>
        <w:lastRenderedPageBreak/>
        <w:t>促进基本公共服务均等化。研究提出促进就业、调整收入分配、完善社会保障与经济协调发展的政策建议，协调社会事业发展和改革中的重大问题。</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二）统筹平衡城乡建设发展战略和规划。综合分析基础设施运行状况，协调有关重大问题，组织编制基础设施发展规划和年度计划，组织协调重大基础设施项目的前期工作。负责综合交通运输体系规划与国民经济和社会发展规划的衔接和平衡。参与研究房地产发展和保障性住房建设的政策建议。</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三）组织编制和拟订能源发展战略、规划和政策措施，推进新能源、可再生能源的开发应用。负责能源的综合平衡和行业监管。研究提出能源消费总量控制目标的建议，牵头拟订能源消费总量控制工作方案并组织实施。协调促进区域能源战略合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四）推进可持续发展战略，综合管理全市节能工作、全市资源综合利用、固定资产投资项目合理用能评估和审查等相关工作。组织编制低碳发展、循环经济发展规划和政策措施，并组织实施。研究制定建立健全生态补偿机制的政策措施。衔接平衡节能降耗、生态建设、环境保护规划和年度计划并综合协调实施中的重大问题，综合协调环保产业有关工作。综合协调重大节能、循环经济、低碳发展示范工程及新产品、新技术、新设备的推广应用。组织、协调和指导全市清洁生产促进工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（十五）研究拟订推进经济建设与国防建设协调发展的战略和</w:t>
      </w:r>
      <w:r>
        <w:rPr>
          <w:rFonts w:ascii="Times New Roman" w:eastAsia="仿宋_GB2312" w:hAnsi="Times New Roman" w:cs="仿宋_GB2312" w:hint="eastAsia"/>
          <w:sz w:val="30"/>
          <w:szCs w:val="30"/>
        </w:rPr>
        <w:lastRenderedPageBreak/>
        <w:t>规划，协调有关重大问题。组织编制国民经济动员和装备动员规划、计划，并组织实施。</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（十六）承担市京津冀协同发展领导小组和市推进“一带一路”建设工作领导小组交办的相关工作。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（十七）承担本领域安全生产监督管理职责，依法依规履行本行业安全生产监管职责，实施安全生产专业监管，强化监管执法，查处违法违规行为。</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八）负责组织落实本部门网络意识形态工作责任制、网络安全工作责任制相关工作，牵头研究提出本部门网络安全和信息化发展规划和计划并组织实施，负责本部门网络综合治理相关工作，负责本部门政务网、政务新媒体等网络内容建设管理、安全等工作，负责本部门网络舆情的发现、</w:t>
      </w:r>
      <w:proofErr w:type="gramStart"/>
      <w:r>
        <w:rPr>
          <w:rFonts w:ascii="Times New Roman" w:eastAsia="仿宋_GB2312" w:hAnsi="Times New Roman" w:cs="仿宋_GB2312" w:hint="eastAsia"/>
          <w:sz w:val="30"/>
          <w:szCs w:val="30"/>
        </w:rPr>
        <w:t>研</w:t>
      </w:r>
      <w:proofErr w:type="gramEnd"/>
      <w:r>
        <w:rPr>
          <w:rFonts w:ascii="Times New Roman" w:eastAsia="仿宋_GB2312" w:hAnsi="Times New Roman" w:cs="仿宋_GB2312" w:hint="eastAsia"/>
          <w:sz w:val="30"/>
          <w:szCs w:val="30"/>
        </w:rPr>
        <w:t>判、报告和应对工作，牵头本部门政务数据共享和开放等工作，推动大数据应用相关工作。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（十九）组织推动本领域招商引资工作。</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（二十）承办市委、市政府交办的其他事项。</w:t>
      </w:r>
    </w:p>
    <w:p w:rsidR="00D12743" w:rsidRDefault="00A60B98">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D12743" w:rsidRDefault="00A60B9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天津市发展和改革委员会（本级）内设</w:t>
      </w:r>
      <w:r>
        <w:rPr>
          <w:rFonts w:ascii="Times New Roman" w:eastAsia="仿宋_GB2312" w:hAnsi="Times New Roman" w:cs="仿宋_GB2312" w:hint="eastAsia"/>
          <w:sz w:val="30"/>
          <w:szCs w:val="30"/>
        </w:rPr>
        <w:t>34</w:t>
      </w:r>
      <w:r>
        <w:rPr>
          <w:rFonts w:ascii="Times New Roman" w:eastAsia="仿宋_GB2312" w:hAnsi="Times New Roman" w:cs="仿宋_GB2312" w:hint="eastAsia"/>
          <w:sz w:val="30"/>
          <w:szCs w:val="30"/>
        </w:rPr>
        <w:t>个职能处室；</w:t>
      </w:r>
      <w:r w:rsidR="00CB5742">
        <w:rPr>
          <w:rFonts w:ascii="Times New Roman" w:eastAsia="仿宋_GB2312" w:hAnsi="Times New Roman" w:cs="仿宋_GB2312" w:hint="eastAsia"/>
          <w:sz w:val="30"/>
          <w:szCs w:val="30"/>
        </w:rPr>
        <w:t>无</w:t>
      </w:r>
      <w:r>
        <w:rPr>
          <w:rFonts w:ascii="Times New Roman" w:eastAsia="仿宋_GB2312" w:hAnsi="Times New Roman" w:cs="仿宋_GB2312" w:hint="eastAsia"/>
          <w:sz w:val="30"/>
          <w:szCs w:val="30"/>
        </w:rPr>
        <w:t>下辖预算单位。纳入天津市发展和改革委员会（本级）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年度部门决算编制范围的单位包括：天津市发展和改革委员会（本级）</w:t>
      </w:r>
      <w:r w:rsidR="00CB5742">
        <w:rPr>
          <w:rFonts w:ascii="Times New Roman" w:eastAsia="仿宋_GB2312" w:hAnsi="Times New Roman" w:cs="仿宋_GB2312" w:hint="eastAsia"/>
          <w:sz w:val="30"/>
          <w:szCs w:val="30"/>
        </w:rPr>
        <w:t>1</w:t>
      </w:r>
      <w:r w:rsidR="00CB5742">
        <w:rPr>
          <w:rFonts w:ascii="Times New Roman" w:eastAsia="仿宋_GB2312" w:hAnsi="Times New Roman" w:cs="仿宋_GB2312" w:hint="eastAsia"/>
          <w:sz w:val="30"/>
          <w:szCs w:val="30"/>
        </w:rPr>
        <w:t>个行政单位。</w:t>
      </w:r>
    </w:p>
    <w:p w:rsidR="00D12743" w:rsidRDefault="00A60B98">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D12743" w:rsidRDefault="00A60B9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D12743" w:rsidRDefault="00D1274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D12743" w:rsidRDefault="00A60B9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D12743" w:rsidRDefault="00A60B98">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D12743" w:rsidRDefault="00A60B98">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D12743" w:rsidRDefault="00A60B98">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天津市发展和改革委员会（</w:t>
      </w:r>
      <w:r w:rsidR="006234F3">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天津市发展和改革委员会（</w:t>
      </w:r>
      <w:r w:rsidR="006234F3">
        <w:rPr>
          <w:rFonts w:ascii="Times New Roman" w:eastAsia="仿宋_GB2312" w:hAnsi="Times New Roman" w:cs="仿宋_GB2312" w:hint="eastAsia"/>
          <w:sz w:val="30"/>
          <w:szCs w:val="30"/>
        </w:rPr>
        <w:t>本级</w:t>
      </w:r>
      <w:bookmarkStart w:id="0" w:name="_GoBack"/>
      <w:bookmarkEnd w:id="0"/>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 xml:space="preserve"> </w:t>
      </w:r>
    </w:p>
    <w:p w:rsidR="00D12743" w:rsidRDefault="00D12743">
      <w:pPr>
        <w:autoSpaceDE w:val="0"/>
        <w:autoSpaceDN w:val="0"/>
        <w:adjustRightInd w:val="0"/>
        <w:spacing w:line="600" w:lineRule="exact"/>
        <w:ind w:firstLine="601"/>
        <w:jc w:val="left"/>
        <w:rPr>
          <w:rFonts w:ascii="Times New Roman" w:eastAsia="仿宋_GB2312" w:hAnsi="Times New Roman" w:cs="仿宋_GB2312"/>
          <w:sz w:val="30"/>
          <w:szCs w:val="30"/>
        </w:rPr>
      </w:pPr>
    </w:p>
    <w:p w:rsidR="00D12743" w:rsidRDefault="00A60B98">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D12743" w:rsidRDefault="00D12743">
      <w:pPr>
        <w:autoSpaceDE w:val="0"/>
        <w:autoSpaceDN w:val="0"/>
        <w:adjustRightInd w:val="0"/>
        <w:spacing w:line="580" w:lineRule="exact"/>
        <w:ind w:firstLine="600"/>
        <w:jc w:val="left"/>
        <w:rPr>
          <w:rFonts w:ascii="Times New Roman" w:eastAsia="黑体" w:hAnsi="Times New Roman" w:cs="黑体"/>
          <w:sz w:val="30"/>
          <w:szCs w:val="30"/>
          <w:lang w:val="zh-CN"/>
        </w:rPr>
      </w:pP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D12743" w:rsidRDefault="00A60B9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天津市发展和改革委员会（本级）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383,119,417.27</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410,886,753.92</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51.75%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：项目收入支出减少。</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D12743" w:rsidRDefault="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天津市发展和改革委员会（本级）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378,676,212.67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410,339,600.34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：项目收入减少。</w:t>
      </w:r>
    </w:p>
    <w:p w:rsidR="00D12743" w:rsidRDefault="00A60B98">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378,552,995.07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D12743" w:rsidRDefault="00A60B9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123,217.60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0.03%</w:t>
      </w:r>
      <w:r>
        <w:rPr>
          <w:rFonts w:ascii="Times New Roman" w:eastAsia="仿宋_GB2312" w:hAnsi="Times New Roman" w:cs="仿宋_GB2312" w:hint="eastAsia"/>
          <w:sz w:val="30"/>
          <w:szCs w:val="30"/>
          <w:lang w:val="zh-CN"/>
        </w:rPr>
        <w:t>。</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D12743" w:rsidRDefault="00A60B98">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天津市发展和改革委员会（本级）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378,538,817.74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410,868,874.17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w:t>
      </w:r>
      <w:r>
        <w:rPr>
          <w:rFonts w:ascii="Times New Roman" w:eastAsia="仿宋_GB2312" w:hAnsi="Times New Roman" w:cs="仿宋_GB2312" w:hint="eastAsia"/>
          <w:sz w:val="30"/>
          <w:szCs w:val="30"/>
          <w:lang w:val="zh-CN"/>
        </w:rPr>
        <w:lastRenderedPageBreak/>
        <w:t>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项目支出减少。</w:t>
      </w:r>
    </w:p>
    <w:p w:rsidR="00D12743" w:rsidRDefault="00A60B9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96,465,480.28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25.48%</w:t>
      </w:r>
      <w:r>
        <w:rPr>
          <w:rFonts w:ascii="Times New Roman" w:eastAsia="仿宋_GB2312" w:hAnsi="Times New Roman" w:cs="仿宋_GB2312" w:hint="eastAsia"/>
          <w:sz w:val="30"/>
          <w:szCs w:val="30"/>
        </w:rPr>
        <w:t>；</w:t>
      </w:r>
    </w:p>
    <w:p w:rsidR="00D12743" w:rsidRDefault="00A60B9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282,073,337.46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74.52%</w:t>
      </w:r>
      <w:r w:rsidR="00CB5742">
        <w:rPr>
          <w:rFonts w:ascii="Times New Roman" w:eastAsia="仿宋_GB2312" w:hAnsi="Times New Roman" w:cs="仿宋_GB2312" w:hint="eastAsia"/>
          <w:sz w:val="30"/>
          <w:szCs w:val="30"/>
        </w:rPr>
        <w:t>。</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D12743" w:rsidRDefault="00A60B9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382,805,534.56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410,886,809.56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51.77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财政拨款项目收入支出减少。</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D12743" w:rsidRDefault="00A60B9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D12743" w:rsidRDefault="00A60B9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378,371,228.70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99.96%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410,913,301.25</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52.06%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：一般公共预算财政拨款项目支出减少。</w:t>
      </w:r>
    </w:p>
    <w:p w:rsidR="00D12743" w:rsidRDefault="00A60B9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D12743" w:rsidRDefault="00A60B9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378,371,228.70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134,204,121.56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35.47%</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9,153,321.03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2.42%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4,734,686.11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1.25%</w:t>
      </w:r>
      <w:r>
        <w:rPr>
          <w:rFonts w:ascii="Times New Roman" w:eastAsia="仿宋_GB2312" w:hAnsi="Times New Roman" w:cs="仿宋_GB2312" w:hint="eastAsia"/>
          <w:sz w:val="30"/>
          <w:szCs w:val="30"/>
        </w:rPr>
        <w:t>；节能环保支出</w:t>
      </w:r>
      <w:r>
        <w:rPr>
          <w:rFonts w:ascii="Times New Roman" w:eastAsia="仿宋_GB2312" w:hAnsi="Times New Roman" w:cs="仿宋_GB2312" w:hint="eastAsia"/>
          <w:sz w:val="30"/>
          <w:szCs w:val="30"/>
        </w:rPr>
        <w:t>79,990,000.00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21.14%</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99,244,100.00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26.23%</w:t>
      </w:r>
      <w:r>
        <w:rPr>
          <w:rFonts w:ascii="Times New Roman" w:eastAsia="仿宋_GB2312" w:hAnsi="Times New Roman" w:cs="仿宋_GB2312" w:hint="eastAsia"/>
          <w:sz w:val="30"/>
          <w:szCs w:val="30"/>
        </w:rPr>
        <w:t>；资源勘探工业信息等支</w:t>
      </w:r>
      <w:r>
        <w:rPr>
          <w:rFonts w:ascii="Times New Roman" w:eastAsia="仿宋_GB2312" w:hAnsi="Times New Roman" w:cs="仿宋_GB2312" w:hint="eastAsia"/>
          <w:sz w:val="30"/>
          <w:szCs w:val="30"/>
        </w:rPr>
        <w:lastRenderedPageBreak/>
        <w:t>出</w:t>
      </w:r>
      <w:r>
        <w:rPr>
          <w:rFonts w:ascii="Times New Roman" w:eastAsia="仿宋_GB2312" w:hAnsi="Times New Roman" w:cs="仿宋_GB2312" w:hint="eastAsia"/>
          <w:sz w:val="30"/>
          <w:szCs w:val="30"/>
        </w:rPr>
        <w:t>27,236,000.00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7.20%</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9,500,000.00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2.51%</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350,000.00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0.09%</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13,959,000.00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3.69%</w:t>
      </w:r>
      <w:r>
        <w:rPr>
          <w:rFonts w:ascii="Times New Roman" w:eastAsia="仿宋_GB2312" w:hAnsi="Times New Roman" w:cs="仿宋_GB2312" w:hint="eastAsia"/>
          <w:sz w:val="30"/>
          <w:szCs w:val="30"/>
        </w:rPr>
        <w:t>。</w:t>
      </w:r>
    </w:p>
    <w:p w:rsidR="00D12743" w:rsidRDefault="00A60B9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D12743" w:rsidRDefault="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1,703,574,000.00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378,371,228.70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22.21%</w:t>
      </w:r>
      <w:r>
        <w:rPr>
          <w:rFonts w:ascii="Times New Roman" w:eastAsia="仿宋_GB2312" w:hAnsi="Times New Roman" w:cs="仿宋_GB2312" w:hint="eastAsia"/>
          <w:kern w:val="0"/>
          <w:sz w:val="30"/>
          <w:szCs w:val="30"/>
        </w:rPr>
        <w:t>。其中：</w:t>
      </w:r>
    </w:p>
    <w:p w:rsidR="00D12743" w:rsidRDefault="00A60B98">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行政运行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76,894,000</w:t>
      </w:r>
      <w:r w:rsidR="00AC0D6D">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82,468,942.33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107.25%</w:t>
      </w:r>
      <w:r>
        <w:rPr>
          <w:rFonts w:ascii="Times New Roman" w:eastAsia="仿宋_GB2312" w:hAnsi="Times New Roman" w:cs="仿宋_GB2312" w:hint="eastAsia"/>
          <w:sz w:val="30"/>
          <w:szCs w:val="30"/>
        </w:rPr>
        <w:t>，决算数大于年初预算数的主要原因是人员增加导致经费增加。</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一般行政管理事务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23,110,000.00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33,533,872.56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145.11%</w:t>
      </w:r>
      <w:r>
        <w:rPr>
          <w:rFonts w:ascii="Times New Roman" w:eastAsia="仿宋_GB2312" w:hAnsi="Times New Roman" w:cs="仿宋_GB2312" w:hint="eastAsia"/>
          <w:sz w:val="30"/>
          <w:szCs w:val="30"/>
        </w:rPr>
        <w:t>，决算数大于年初预算数的主要原因是追加天津市信用信息共享平台（二期）等项目支出。</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物价管理</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1,370,000.00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1,410,403.67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102.95%</w:t>
      </w:r>
      <w:r>
        <w:rPr>
          <w:rFonts w:ascii="Times New Roman" w:eastAsia="仿宋_GB2312" w:hAnsi="Times New Roman" w:cs="仿宋_GB2312" w:hint="eastAsia"/>
          <w:sz w:val="30"/>
          <w:szCs w:val="30"/>
        </w:rPr>
        <w:t>，决算数大于年初预算数的主要原因是物价管理方面支出略有增加。</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其他发展与改革事务支出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16,790,903</w:t>
      </w:r>
      <w:r w:rsidR="00AC0D6D">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lastRenderedPageBreak/>
        <w:t>为</w:t>
      </w:r>
      <w:r>
        <w:rPr>
          <w:rFonts w:ascii="Times New Roman" w:eastAsia="仿宋_GB2312" w:hAnsi="Times New Roman" w:cs="仿宋_GB2312" w:hint="eastAsia"/>
          <w:sz w:val="30"/>
          <w:szCs w:val="30"/>
        </w:rPr>
        <w:t>16,790,903</w:t>
      </w:r>
      <w:r w:rsidR="00AC0D6D">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，决算数大于年初预算数的主要原因是本部门重点项目前期工作经费等其他发展与改革事务支出增加。</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350,000.00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350,000.00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，决算数等于年初预算数的主要原因是本单位严格按照预算执行。</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6,089,000.00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6,119,212.47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100.50%</w:t>
      </w:r>
      <w:r>
        <w:rPr>
          <w:rFonts w:ascii="Times New Roman" w:eastAsia="仿宋_GB2312" w:hAnsi="Times New Roman" w:cs="仿宋_GB2312" w:hint="eastAsia"/>
          <w:sz w:val="30"/>
          <w:szCs w:val="30"/>
        </w:rPr>
        <w:t>，决算数大于年初预算数的主要原因是人员动态变化，社保缴费基数调整。</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3,045,000.00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3,034,108.56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99.64%</w:t>
      </w:r>
      <w:r>
        <w:rPr>
          <w:rFonts w:ascii="Times New Roman" w:eastAsia="仿宋_GB2312" w:hAnsi="Times New Roman" w:cs="仿宋_GB2312" w:hint="eastAsia"/>
          <w:sz w:val="30"/>
          <w:szCs w:val="30"/>
        </w:rPr>
        <w:t>，决算数小于年初预算数的主要原因是本单位职业年金缴费支出减少。</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3,996,000.00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3,972,059.95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99.40%</w:t>
      </w:r>
      <w:r>
        <w:rPr>
          <w:rFonts w:ascii="Times New Roman" w:eastAsia="仿宋_GB2312" w:hAnsi="Times New Roman" w:cs="仿宋_GB2312" w:hint="eastAsia"/>
          <w:sz w:val="30"/>
          <w:szCs w:val="30"/>
        </w:rPr>
        <w:t>，决算数小于年初预算数的主要原因是本单位行政单位基本医疗保险支出减少。</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公务员医疗补助</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761,000.00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762</w:t>
      </w:r>
      <w:r w:rsidR="00AC0D6D">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626.16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100.21%</w:t>
      </w:r>
      <w:r>
        <w:rPr>
          <w:rFonts w:ascii="Times New Roman" w:eastAsia="仿宋_GB2312" w:hAnsi="Times New Roman" w:cs="仿宋_GB2312" w:hint="eastAsia"/>
          <w:sz w:val="30"/>
          <w:szCs w:val="30"/>
        </w:rPr>
        <w:t>，决算数大于年初预算数的主要原因是人员动态变化，</w:t>
      </w:r>
      <w:r>
        <w:rPr>
          <w:rFonts w:ascii="Times New Roman" w:eastAsia="仿宋_GB2312" w:hAnsi="Times New Roman" w:cs="仿宋_GB2312" w:hint="eastAsia"/>
          <w:sz w:val="30"/>
          <w:szCs w:val="30"/>
        </w:rPr>
        <w:lastRenderedPageBreak/>
        <w:t>社保缴费基数调整。</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节能环保支出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能源节约利用</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能源节约利用</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47,500,000.00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79,990,000.00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168.4%</w:t>
      </w:r>
      <w:r>
        <w:rPr>
          <w:rFonts w:ascii="Times New Roman" w:eastAsia="仿宋_GB2312" w:hAnsi="Times New Roman" w:cs="仿宋_GB2312" w:hint="eastAsia"/>
          <w:sz w:val="30"/>
          <w:szCs w:val="30"/>
        </w:rPr>
        <w:t>，决算数大于年初预算数的主要原因是本单位在支持能源节约利用方面支出增加。</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城乡社区公共设施</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其他城乡社区公共设施支出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1,500,000,000.00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99,244,100.00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6.62%</w:t>
      </w:r>
      <w:r>
        <w:rPr>
          <w:rFonts w:ascii="Times New Roman" w:eastAsia="仿宋_GB2312" w:hAnsi="Times New Roman" w:cs="仿宋_GB2312" w:hint="eastAsia"/>
          <w:sz w:val="30"/>
          <w:szCs w:val="30"/>
        </w:rPr>
        <w:t>，决算数小于年初预算数的主要原因是本单位在支持其他城乡社区公共设施方面支出减少。</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12. </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支持中小企业发展和管理支出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中小企业发展专项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686,000.00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68.6%</w:t>
      </w:r>
      <w:r>
        <w:rPr>
          <w:rFonts w:ascii="Times New Roman" w:eastAsia="仿宋_GB2312" w:hAnsi="Times New Roman" w:cs="仿宋_GB2312" w:hint="eastAsia"/>
          <w:sz w:val="30"/>
          <w:szCs w:val="30"/>
        </w:rPr>
        <w:t>，决算数小于年初预算数的主要原因是本单位在支持中小企业培育、公共服务体系和融资服务体系建设等方面的支出减少。</w:t>
      </w:r>
      <w:r>
        <w:rPr>
          <w:rFonts w:ascii="Times New Roman" w:eastAsia="仿宋_GB2312" w:hAnsi="Times New Roman" w:cs="仿宋_GB2312" w:hint="eastAsia"/>
          <w:sz w:val="30"/>
          <w:szCs w:val="30"/>
        </w:rPr>
        <w:br/>
        <w:t xml:space="preserve"> </w:t>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13. </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其他资源勘探工业信息等支出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技术改造支出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26,550,000.00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26,550,000.00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，主要原因是年中追加本单位预算安排的技术改造的支出。</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其他商业服务业等支出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服务业基础设施建设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9,500,000.00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9,500,000.00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w:t>
      </w:r>
      <w:r>
        <w:rPr>
          <w:rFonts w:ascii="Times New Roman" w:eastAsia="仿宋_GB2312" w:hAnsi="Times New Roman" w:cs="仿宋_GB2312" w:hint="eastAsia"/>
          <w:sz w:val="30"/>
          <w:szCs w:val="30"/>
        </w:rPr>
        <w:lastRenderedPageBreak/>
        <w:t>是本单位严格按照预算执行。</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15.</w:t>
      </w:r>
      <w:r>
        <w:rPr>
          <w:rFonts w:ascii="Times New Roman" w:eastAsia="仿宋_GB2312" w:hAnsi="Times New Roman" w:cs="仿宋_GB2312" w:hint="eastAsia"/>
          <w:sz w:val="30"/>
          <w:szCs w:val="30"/>
        </w:rPr>
        <w:t>粮油物资储备支出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能源储备</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煤炭储备</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16,000,000.00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元，核减预算为</w:t>
      </w:r>
      <w:r>
        <w:rPr>
          <w:rFonts w:ascii="Times New Roman" w:eastAsia="仿宋_GB2312" w:hAnsi="Times New Roman" w:cs="仿宋_GB2312" w:hint="eastAsia"/>
          <w:sz w:val="30"/>
          <w:szCs w:val="30"/>
        </w:rPr>
        <w:t>16,000,000.00</w:t>
      </w:r>
      <w:r>
        <w:rPr>
          <w:rFonts w:ascii="Times New Roman" w:eastAsia="仿宋_GB2312" w:hAnsi="Times New Roman" w:cs="仿宋_GB2312" w:hint="eastAsia"/>
          <w:sz w:val="30"/>
          <w:szCs w:val="30"/>
        </w:rPr>
        <w:t>元，决算数小于年初预算数的主要原因是年中核减本单位国家煤炭储备方面的支出。</w:t>
      </w:r>
      <w:r>
        <w:rPr>
          <w:rFonts w:ascii="Times New Roman" w:eastAsia="仿宋_GB2312" w:hAnsi="Times New Roman" w:cs="仿宋_GB2312" w:hint="eastAsia"/>
          <w:sz w:val="30"/>
          <w:szCs w:val="30"/>
        </w:rPr>
        <w:br/>
      </w:r>
      <w:r w:rsidR="000479F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16.</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地方政府一般债务付息支出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地方政府一般债券付息支出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13,959,000.00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13,959,000.00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，决算数等于年初预算数的主要原因是本单位严格按照预算执行。</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D12743" w:rsidRDefault="00A60B98">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天津市发展和改革委员会（本级）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96,397,891.24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6,432,411.23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机构改革后本部门人员增加。</w:t>
      </w:r>
      <w:r>
        <w:rPr>
          <w:rFonts w:ascii="Times New Roman" w:eastAsia="仿宋_GB2312" w:hAnsi="Times New Roman" w:cs="仿宋_GB2312" w:hint="eastAsia"/>
          <w:kern w:val="0"/>
          <w:sz w:val="30"/>
          <w:szCs w:val="30"/>
        </w:rPr>
        <w:t>其中：</w:t>
      </w:r>
    </w:p>
    <w:p w:rsidR="00D12743" w:rsidRDefault="00A60B98">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84,726,544.79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生活补助、奖励金。</w:t>
      </w:r>
    </w:p>
    <w:p w:rsidR="00D12743" w:rsidRDefault="00A60B98">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11,671,346.45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办公费、印刷费、手续费、水费、电费、邮电费、取暖费、物业管理费、差旅费、维修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费、租赁费、会议费、培训费、公务接待费、劳务费、委托业务费、工</w:t>
      </w:r>
      <w:r>
        <w:rPr>
          <w:rFonts w:ascii="Times New Roman" w:eastAsia="仿宋_GB2312" w:hAnsi="Times New Roman" w:cs="仿宋_GB2312" w:hint="eastAsia"/>
          <w:sz w:val="30"/>
          <w:szCs w:val="30"/>
        </w:rPr>
        <w:lastRenderedPageBreak/>
        <w:t>会经费、福利费、公务用车运行维护费、其他交通费用、其他商品和服务支出、办公设备购置、其他资本性支出。</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D12743" w:rsidRDefault="00A60B98">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天津市发展和改革委员会（本级）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D12743" w:rsidRDefault="00A60B9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A60B98" w:rsidRDefault="00A60B98" w:rsidP="00A60B98">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A60B98" w:rsidRDefault="00A60B98" w:rsidP="00A60B9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879,000.00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497,100.13</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381,899.87</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56.55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373,321.61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301.6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本部门严格执行中央八项规定，严格控制“三公”经费支出。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疫情过后，为落实市委、市政府部署，出国出访任务增加以及各单位间考察调研、执行任务、学习交流等工作恢复正常。</w:t>
      </w:r>
    </w:p>
    <w:p w:rsidR="00A60B98" w:rsidRDefault="00A60B98" w:rsidP="00A60B98">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A60B98" w:rsidRDefault="00A60B98" w:rsidP="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664,000.00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312,200.13</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351,799.87</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47.02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312,200.13</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严格贯彻落实中</w:t>
      </w:r>
      <w:r>
        <w:rPr>
          <w:rFonts w:ascii="Times New Roman" w:eastAsia="仿宋_GB2312" w:hAnsi="Times New Roman" w:cs="仿宋_GB2312" w:hint="eastAsia"/>
          <w:sz w:val="30"/>
          <w:szCs w:val="30"/>
        </w:rPr>
        <w:lastRenderedPageBreak/>
        <w:t>央八项规定，严控因公出国（境）费支出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为落实市委市政府部署的出国出访任务，增加因公出国（境）费用。</w:t>
      </w:r>
    </w:p>
    <w:p w:rsidR="00A60B98" w:rsidRDefault="00A60B98" w:rsidP="00A60B9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4</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9</w:t>
      </w:r>
      <w:r>
        <w:rPr>
          <w:rFonts w:ascii="Times New Roman" w:eastAsia="仿宋_GB2312" w:hAnsi="Times New Roman" w:cs="仿宋_GB2312" w:hint="eastAsia"/>
          <w:kern w:val="0"/>
          <w:sz w:val="30"/>
          <w:szCs w:val="30"/>
        </w:rPr>
        <w:t>人次。</w:t>
      </w:r>
    </w:p>
    <w:p w:rsidR="00A60B98" w:rsidRDefault="00A60B98" w:rsidP="00A60B9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8,377.48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8.67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过紧日子，合理安排公务用车使用，压减公车运维支出，严格按照预算执行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本年度为落实市委市政府部署工作，工作人员外出调研增多造成公务用车运行维护费增加。</w:t>
      </w:r>
      <w:r>
        <w:rPr>
          <w:rFonts w:ascii="Times New Roman" w:eastAsia="仿宋_GB2312" w:hAnsi="Times New Roman" w:cs="仿宋_GB2312" w:hint="eastAsia"/>
          <w:kern w:val="0"/>
          <w:sz w:val="30"/>
          <w:szCs w:val="30"/>
        </w:rPr>
        <w:t>其中：</w:t>
      </w:r>
    </w:p>
    <w:p w:rsidR="00A60B98" w:rsidRDefault="00A60B98" w:rsidP="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8,377.48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8.67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过紧日子，合理安排公务用车使用，压减公车运维支出，严格按照预算执行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本年度为落实市委市政府部署工作，工作人员外出调研增多造成公务用车运行维护费增加。</w:t>
      </w:r>
    </w:p>
    <w:p w:rsidR="00A60B98" w:rsidRDefault="00A60B98" w:rsidP="00A60B9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11</w:t>
      </w:r>
      <w:r>
        <w:rPr>
          <w:rFonts w:ascii="Times New Roman" w:eastAsia="仿宋_GB2312" w:hAnsi="Times New Roman" w:cs="仿宋_GB2312" w:hint="eastAsia"/>
          <w:kern w:val="0"/>
          <w:sz w:val="30"/>
          <w:szCs w:val="30"/>
        </w:rPr>
        <w:t>辆。</w:t>
      </w:r>
    </w:p>
    <w:p w:rsidR="00A60B98" w:rsidRDefault="00A60B98" w:rsidP="00A60B9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lastRenderedPageBreak/>
        <w:t>本年度未用财政拨款经费列支公务用车购置费。</w:t>
      </w:r>
    </w:p>
    <w:p w:rsidR="00A60B98" w:rsidRDefault="00A60B98" w:rsidP="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A60B98" w:rsidRDefault="00A60B98" w:rsidP="00A60B98">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110,000.00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79,900.00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30,100.00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72.64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52,744.00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194.23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本部门认真执行中央八项规定，厉行节约，严格控制公务接待费支出，压减公务接待费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疫情过后，各单位间考察调研、执行任务、学习交流等工作恢复正常。</w:t>
      </w:r>
    </w:p>
    <w:p w:rsidR="00A60B98" w:rsidRDefault="00A60B98" w:rsidP="00A60B98">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69</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394</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D12743" w:rsidRDefault="00A60B98">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天津市发展和改革委员会（本级）</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11,671,346.45</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2,253,238.08</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16.18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一是压减经费开支。深入贯彻落实中央八项规定及其实施细则精神，节约使用资金，特别是严格控制“三公”经费开支；二是整合精简地点相同、对象重叠、内容相近的会议、培训、调研等公务活动，优先保障重点、刚需、紧急项目支出。三是从严编报、审核资产配置计划，减少新购资产配置支出，加大资产调剂配置比例；四是严格执行机关运行经费开支标准，严禁超范围、超标准开</w:t>
      </w:r>
      <w:r>
        <w:rPr>
          <w:rFonts w:ascii="Times New Roman" w:eastAsia="仿宋_GB2312" w:hAnsi="Times New Roman" w:cs="仿宋_GB2312" w:hint="eastAsia"/>
          <w:sz w:val="30"/>
          <w:szCs w:val="30"/>
        </w:rPr>
        <w:lastRenderedPageBreak/>
        <w:t>支。</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D12743" w:rsidRDefault="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天津市发展和改革委员会（本级）</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53,045,290.00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3,007,616.00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50,037,674.00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28,835,290.00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54.36%</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27,547,390.00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51.93%</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sidR="00486CD9">
        <w:rPr>
          <w:rFonts w:ascii="Times New Roman" w:eastAsia="仿宋_GB2312" w:hAnsi="Times New Roman" w:cs="仿宋_GB2312" w:hint="eastAsia"/>
          <w:sz w:val="30"/>
          <w:szCs w:val="30"/>
        </w:rPr>
        <w:t>52.65</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D12743" w:rsidRDefault="00A60B9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D12743" w:rsidRDefault="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D12743" w:rsidRDefault="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根据预算绩效管理要求，天津市发展和改革委员会（本级）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185,431,881.52</w:t>
      </w:r>
      <w:r>
        <w:rPr>
          <w:rFonts w:ascii="Times New Roman" w:eastAsia="仿宋_GB2312" w:hAnsi="Times New Roman" w:cs="仿宋_GB2312" w:hint="eastAsia"/>
          <w:sz w:val="30"/>
          <w:szCs w:val="30"/>
        </w:rPr>
        <w:t>元，自评结果已随部门决算一并公开。</w:t>
      </w:r>
    </w:p>
    <w:p w:rsidR="00D12743" w:rsidRPr="00A60B98" w:rsidRDefault="00A60B98" w:rsidP="00A60B9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D12743" w:rsidRDefault="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天津市发展和改革委员会（本级）不属于乡、镇、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w:t>
      </w:r>
      <w:r>
        <w:rPr>
          <w:rFonts w:ascii="Times New Roman" w:eastAsia="仿宋_GB2312" w:hAnsi="Times New Roman" w:cs="仿宋_GB2312" w:hint="eastAsia"/>
          <w:sz w:val="30"/>
          <w:szCs w:val="30"/>
        </w:rPr>
        <w:lastRenderedPageBreak/>
        <w:t>涉农补贴等民生支出情况。</w:t>
      </w:r>
    </w:p>
    <w:p w:rsidR="00D12743" w:rsidRDefault="00A60B98">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D12743" w:rsidRDefault="00A60B9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D12743" w:rsidRDefault="00D1274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D12743" w:rsidRDefault="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D12743" w:rsidRDefault="00A60B9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12743" w:rsidRDefault="00A60B98">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D127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9F7"/>
    <w:rsid w:val="00047C6F"/>
    <w:rsid w:val="000528EE"/>
    <w:rsid w:val="00066EB6"/>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86CD9"/>
    <w:rsid w:val="004A482F"/>
    <w:rsid w:val="004F39BF"/>
    <w:rsid w:val="005062D7"/>
    <w:rsid w:val="005175E6"/>
    <w:rsid w:val="00525157"/>
    <w:rsid w:val="005349A2"/>
    <w:rsid w:val="00575537"/>
    <w:rsid w:val="00583B51"/>
    <w:rsid w:val="005D1367"/>
    <w:rsid w:val="005D3F56"/>
    <w:rsid w:val="006234F3"/>
    <w:rsid w:val="00654D17"/>
    <w:rsid w:val="006623EC"/>
    <w:rsid w:val="006A094D"/>
    <w:rsid w:val="006D2409"/>
    <w:rsid w:val="006E65DB"/>
    <w:rsid w:val="00776FF3"/>
    <w:rsid w:val="0078156E"/>
    <w:rsid w:val="00786E74"/>
    <w:rsid w:val="007D1285"/>
    <w:rsid w:val="007E49E1"/>
    <w:rsid w:val="007F6DA7"/>
    <w:rsid w:val="0080504C"/>
    <w:rsid w:val="008174D5"/>
    <w:rsid w:val="00885126"/>
    <w:rsid w:val="0089698B"/>
    <w:rsid w:val="008D48A9"/>
    <w:rsid w:val="00941A30"/>
    <w:rsid w:val="00977DCC"/>
    <w:rsid w:val="009820CF"/>
    <w:rsid w:val="00982A8B"/>
    <w:rsid w:val="009A7ED3"/>
    <w:rsid w:val="009D2AB3"/>
    <w:rsid w:val="009D74D7"/>
    <w:rsid w:val="00A57AE7"/>
    <w:rsid w:val="00A60B98"/>
    <w:rsid w:val="00AC0D6D"/>
    <w:rsid w:val="00AF71AE"/>
    <w:rsid w:val="00B33C70"/>
    <w:rsid w:val="00B75228"/>
    <w:rsid w:val="00B811F1"/>
    <w:rsid w:val="00B81B9F"/>
    <w:rsid w:val="00BC763A"/>
    <w:rsid w:val="00BC7D6F"/>
    <w:rsid w:val="00BD3CAC"/>
    <w:rsid w:val="00BF697A"/>
    <w:rsid w:val="00C52E77"/>
    <w:rsid w:val="00C65A44"/>
    <w:rsid w:val="00C76AC3"/>
    <w:rsid w:val="00C83EB4"/>
    <w:rsid w:val="00CB5742"/>
    <w:rsid w:val="00D12743"/>
    <w:rsid w:val="00D4505A"/>
    <w:rsid w:val="00D65B41"/>
    <w:rsid w:val="00DC3234"/>
    <w:rsid w:val="00DC3CD0"/>
    <w:rsid w:val="00DD60B5"/>
    <w:rsid w:val="00DE5746"/>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1486</Words>
  <Characters>8476</Characters>
  <Application>Microsoft Office Word</Application>
  <DocSecurity>0</DocSecurity>
  <Lines>70</Lines>
  <Paragraphs>19</Paragraphs>
  <ScaleCrop>false</ScaleCrop>
  <Company>Microsoft</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3</cp:revision>
  <dcterms:created xsi:type="dcterms:W3CDTF">2024-09-05T02:58:00Z</dcterms:created>
  <dcterms:modified xsi:type="dcterms:W3CDTF">2024-09-05T05:51:00Z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