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天津市价格事务中心2023年度部门决算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hint="eastAsia" w:ascii="Times New Roman" w:hAnsi="Times New Roman" w:eastAsia="黑体" w:cs="黑体"/>
          <w:kern w:val="0"/>
          <w:sz w:val="44"/>
          <w:szCs w:val="44"/>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pPr>
        <w:keepNext/>
        <w:keepLines/>
        <w:numPr>
          <w:ilvl w:val="0"/>
          <w:numId w:val="1"/>
        </w:numPr>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numPr>
          <w:ilvl w:val="0"/>
          <w:numId w:val="0"/>
        </w:numPr>
        <w:autoSpaceDE w:val="0"/>
        <w:autoSpaceDN w:val="0"/>
        <w:adjustRightInd w:val="0"/>
        <w:spacing w:line="600" w:lineRule="exact"/>
        <w:jc w:val="both"/>
        <w:outlineLvl w:val="0"/>
        <w:rPr>
          <w:rFonts w:hint="eastAsia" w:ascii="Times New Roman" w:hAnsi="Times New Roman" w:eastAsia="方正小标宋简体" w:cs="方正小标宋简体"/>
          <w:kern w:val="44"/>
          <w:sz w:val="44"/>
          <w:szCs w:val="44"/>
          <w:highlight w:val="none"/>
        </w:rPr>
      </w:pPr>
    </w:p>
    <w:p>
      <w:pPr>
        <w:keepNext/>
        <w:keepLines/>
        <w:pageBreakBefore w:val="0"/>
        <w:widowControl w:val="0"/>
        <w:kinsoku/>
        <w:wordWrap/>
        <w:overflowPunct/>
        <w:topLinePunct w:val="0"/>
        <w:autoSpaceDE w:val="0"/>
        <w:autoSpaceDN w:val="0"/>
        <w:bidi w:val="0"/>
        <w:adjustRightInd w:val="0"/>
        <w:snapToGrid/>
        <w:spacing w:line="600" w:lineRule="exact"/>
        <w:ind w:firstLine="601"/>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承担重点行业、重要农产品、重要商品和服务成本调查以及价格变动监测预测预警的事务性工作，组织开展价格认定和价格争议纠纷调解工作，协助做好其他价格管理工作。</w:t>
      </w:r>
    </w:p>
    <w:p>
      <w:pPr>
        <w:keepNext/>
        <w:keepLines/>
        <w:pageBreakBefore w:val="0"/>
        <w:widowControl w:val="0"/>
        <w:kinsoku/>
        <w:wordWrap/>
        <w:overflowPunct/>
        <w:topLinePunct w:val="0"/>
        <w:autoSpaceDE w:val="0"/>
        <w:autoSpaceDN w:val="0"/>
        <w:bidi w:val="0"/>
        <w:adjustRightInd w:val="0"/>
        <w:snapToGrid/>
        <w:spacing w:line="600" w:lineRule="exact"/>
        <w:ind w:firstLine="601"/>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天津市价格事务中心内设3个职能科室，分别为综合业务科、价格监测事务科和成本调查事务科；无下辖预算单位。纳入天津市价格事务中心2023年度部门决算编制范围的单位包括：</w:t>
      </w:r>
    </w:p>
    <w:p>
      <w:pPr>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天津市价格事务中心1个事业单位。</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1.天津市价格事务中心202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2.天津市价格事务中心202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3.天津市价格事务中心202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天津市价格事务中心2023年度收入、支出决算总计</w:t>
      </w:r>
      <w:r>
        <w:rPr>
          <w:rFonts w:hint="eastAsia" w:ascii="Times New Roman" w:hAnsi="Times New Roman" w:eastAsia="仿宋_GB2312" w:cs="仿宋_GB2312"/>
          <w:sz w:val="30"/>
          <w:szCs w:val="30"/>
          <w:highlight w:val="none"/>
          <w:lang w:eastAsia="zh-CN"/>
        </w:rPr>
        <w:t>1,489,487.94元，与2022年度相比，收、支总计各增加1,389,598.59元，增长1391.14%，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：本单位2022年成立但当年并未招录人员，仅存在项目经费；2023年新增聘用人员11名，人员经费、公用经费增加。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天津市价格事务中心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1,489,487.94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增加1,389,598.59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本单位2022年成立但当年并未招录人员，仅存在项目经费；2023年新增聘用人员11名，人员经费、公用经费增加。</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1,489,486.79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1.15元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1"/>
        <w:jc w:val="left"/>
        <w:textAlignment w:val="auto"/>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天津市价格事务中心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1,489,486.79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1,389,597.44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本单位2022年成立但当年并未招录人员，仅存在项目经费；2023年新增聘用人员11名，人员经费、公用经费增加。</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1"/>
        <w:jc w:val="left"/>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1,391,386.79元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93.41</w:t>
      </w:r>
      <w:r>
        <w:rPr>
          <w:rFonts w:hint="eastAsia" w:ascii="Times New Roman" w:hAnsi="Times New Roman" w:eastAsia="仿宋_GB2312" w:cs="仿宋_GB2312"/>
          <w:sz w:val="30"/>
          <w:szCs w:val="30"/>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1"/>
        <w:jc w:val="left"/>
        <w:textAlignment w:val="auto"/>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98,100.00元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占6.59%。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01"/>
        <w:jc w:val="left"/>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天津市价格事务中心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1,489,486.79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1,389,597.44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1391.14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本单位2022年成立但当年并未招录人员，仅存在项目经费；2023年新增聘用人员11名，人员经费、公用经费支出增加。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天津市价格事务中心2023年度部门决算一般公共预算财政拨款支出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计1,489,486.79元，占本年支出合计的100.0%，与2022年度相比，一般公共预算财政拨款支出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1,389,597.44元，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1391.14%，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：本单位2022年成立但当年并未招录人员，</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支出增加。</w:t>
      </w:r>
      <w:r>
        <w:rPr>
          <w:rFonts w:hint="eastAsia" w:ascii="Times New Roman" w:hAnsi="Times New Roman" w:eastAsia="仿宋_GB2312" w:cs="仿宋_GB2312"/>
          <w:sz w:val="30"/>
          <w:szCs w:val="30"/>
          <w:highlight w:val="none"/>
          <w:lang w:val="en-US" w:eastAsia="zh-CN"/>
        </w:rPr>
        <w:t xml:space="preserve">                                              </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1,489,486.79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一般公共服务支出1,264,0</w:t>
      </w:r>
      <w:r>
        <w:rPr>
          <w:rFonts w:hint="eastAsia" w:ascii="Times New Roman" w:hAnsi="Times New Roman" w:eastAsia="仿宋_GB2312" w:cs="仿宋_GB2312"/>
          <w:sz w:val="30"/>
          <w:szCs w:val="30"/>
          <w:highlight w:val="none"/>
          <w:lang w:val="en-US" w:eastAsia="zh-CN"/>
        </w:rPr>
        <w:t>29.26</w:t>
      </w:r>
      <w:r>
        <w:rPr>
          <w:rFonts w:hint="eastAsia" w:ascii="Times New Roman" w:hAnsi="Times New Roman" w:eastAsia="仿宋_GB2312" w:cs="仿宋_GB2312"/>
          <w:sz w:val="30"/>
          <w:szCs w:val="30"/>
          <w:highlight w:val="none"/>
          <w:lang w:eastAsia="zh-CN"/>
        </w:rPr>
        <w:t>元，占84.86%，社会保障和就业支出154,190.17元，占10.35%，卫生健康支出71,267.36元，占4.79%。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100,000.00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1,489,486.79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1489.49%</w:t>
      </w:r>
      <w:r>
        <w:rPr>
          <w:rFonts w:hint="eastAsia" w:ascii="Times New Roman" w:hAnsi="Times New Roman" w:eastAsia="仿宋_GB2312" w:cs="仿宋_GB2312"/>
          <w:kern w:val="0"/>
          <w:sz w:val="30"/>
          <w:szCs w:val="30"/>
          <w:highlight w:val="none"/>
        </w:rPr>
        <w:t>。其中：</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1.一般公共服务支出(类)发展与改革事务(款)物价管理(项)年初预算为100,000.00元，支出决算为98,100.00元，完成年初预算的98.10%，决算数小于年初预算数的主要原因是本单位价格认定支出减少。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2.一般公共服务支出(类)发展与改革事务(款)事业运行(项)年初预算为0.00元，支出决算为1,165,929.26元，追加预算为1,165,929.26元，完成追加预算的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主要原因是2023年4月我单位新增人员，年中追加预算用于人员经费和公用经费支出。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社会保障和就业支出(类)行政事业单位养老支出(款)机关事业单位基本养老保险缴费支出(项)年初预算为0.00元，支出决算为102,674.65元，追加预算为102,674.65元，完成追加预算的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主要原因是2023年4月我单位新增人员，年中追加预算用于人员社保支出。</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社会保障和就业支出(类)行政事业单位养老支出(款)机关事业单位职业年金缴费支出(项)年初预算为0.00元，支出决算为51,515.52元，追加预算为51,515.52元，完成追加预算的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主要原因是2023年4月我单位新增人员，年中追加预算用于人员职业年金缴费支出。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 卫生健康支出(类)行政事业单位医疗(款)事业单位医疗(项)年初预算为0.00元，支出决算为67,258.09元，追加预算为67,258.09元，完成追加预算的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主要原因是2023年4月我单位新增人员，年中追加预算用于人员医疗支出。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 卫生健康支出(类)行政事业单位医疗(款)其他行政事业单位医疗支出(项)年初预算为0.00元，支出决算为4,009.27元，追加预算为4,009.27元，完成追加预算的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主要原因是2023年4月我单位新增人员，年中追加预算用于人员其他行政事业单位医疗支出。</w:t>
      </w:r>
    </w:p>
    <w:p>
      <w:pPr>
        <w:keepNext/>
        <w:keepLines/>
        <w:autoSpaceDE w:val="0"/>
        <w:autoSpaceDN w:val="0"/>
        <w:adjustRightInd w:val="0"/>
        <w:spacing w:line="600" w:lineRule="exact"/>
        <w:ind w:firstLine="602" w:firstLineChars="200"/>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天津市价格事务中心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1,391,386.79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1,391,386.79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本单位2022年成立但当年并未招录人员，仅存在项目经费；2023年新增聘用人员11名，人员经费、公用经费支出增加。</w:t>
      </w:r>
      <w:r>
        <w:rPr>
          <w:rFonts w:hint="eastAsia" w:ascii="Times New Roman" w:hAnsi="Times New Roman" w:eastAsia="仿宋_GB2312" w:cs="仿宋_GB2312"/>
          <w:kern w:val="0"/>
          <w:sz w:val="30"/>
          <w:szCs w:val="30"/>
          <w:highlight w:val="none"/>
        </w:rPr>
        <w:t>其中：</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1,323,342.79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基本工资、津贴补贴、绩效工资、机关事业单位基本养老保险缴费、职业年金缴费、职工基本医疗保险缴费、其他社会保障缴费、住房公积金、医疗费。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68,044.00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办公费、手续费、差旅费、维修(护)费、培训费、工会经费、其他商品和服务支出、办公设备购置费。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天津市价格事务中心2023年度无政府性基金预算财政拨款收入、支出和结转结余。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天津市价格事务中心2023年度无国有资本经营预算财政拨款收入、支出和结转结余。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w:t>
      </w:r>
      <w:r>
        <w:rPr>
          <w:rFonts w:hint="eastAsia" w:ascii="Times New Roman" w:hAnsi="Times New Roman" w:eastAsia="仿宋_GB2312" w:cs="仿宋_GB2312"/>
          <w:strike w:val="0"/>
          <w:dstrike w:val="0"/>
          <w:sz w:val="30"/>
          <w:szCs w:val="30"/>
          <w:highlight w:val="none"/>
          <w:lang w:eastAsia="zh-CN"/>
        </w:rPr>
        <w:t>财政拨款经费</w:t>
      </w:r>
      <w:r>
        <w:rPr>
          <w:rFonts w:hint="eastAsia" w:ascii="Times New Roman" w:hAnsi="Times New Roman" w:eastAsia="仿宋_GB2312" w:cs="仿宋_GB2312"/>
          <w:sz w:val="30"/>
          <w:szCs w:val="30"/>
          <w:highlight w:val="none"/>
          <w:lang w:eastAsia="zh-CN"/>
        </w:rPr>
        <w:t>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上年度与本年度未用</w:t>
      </w:r>
      <w:bookmarkStart w:id="0" w:name="_GoBack"/>
      <w:bookmarkEnd w:id="0"/>
      <w:r>
        <w:rPr>
          <w:rFonts w:hint="eastAsia" w:ascii="Times New Roman" w:hAnsi="Times New Roman" w:eastAsia="仿宋_GB2312" w:cs="仿宋_GB2312"/>
          <w:strike w:val="0"/>
          <w:dstrike w:val="0"/>
          <w:sz w:val="30"/>
          <w:szCs w:val="30"/>
          <w:highlight w:val="none"/>
          <w:lang w:eastAsia="zh-CN"/>
        </w:rPr>
        <w:t>财政拨款经费</w:t>
      </w:r>
      <w:r>
        <w:rPr>
          <w:rFonts w:hint="eastAsia" w:ascii="Times New Roman" w:hAnsi="Times New Roman" w:eastAsia="仿宋_GB2312" w:cs="仿宋_GB2312"/>
          <w:sz w:val="30"/>
          <w:szCs w:val="30"/>
          <w:highlight w:val="none"/>
          <w:lang w:eastAsia="zh-CN"/>
        </w:rPr>
        <w:t>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上年度与本年度未用财政拨款经费列支因公出国（境）费。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上年度与本年度未用财政拨款经费列支公务用车购置及运行维护费。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上年度与本年度未用财政拨款经费列支公务用车运行维护费。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上年度与本年度未用财政拨款经费列支公务用车购置费。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上年度与本年度未用财政拨款经费列支公务接待费。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天津市价格事务中心2023年度无机关运行经费。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天津市价格事务中心2023年度无政府采购支出。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天津市价格事务中心2023年度无国有资产占有使用情况。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根据预算绩效管理要求，天津市价格事务中心2023年度已对1个市级项目开展绩效自评，涉及金额98,100元，自评结果已随部门决算一并公开。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天津市价格事务中心不属于乡、镇、街级单位，不涉及公开2023年度教育、医疗卫生、社会保障和就业、住房保障、涉农补贴等民生支出情况。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FDE4C"/>
    <w:multiLevelType w:val="singleLevel"/>
    <w:tmpl w:val="8F3FDE4C"/>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87435E1"/>
    <w:rsid w:val="0A7D5D1A"/>
    <w:rsid w:val="0AF018E5"/>
    <w:rsid w:val="0B1428B6"/>
    <w:rsid w:val="0B2716A6"/>
    <w:rsid w:val="0B2E72C7"/>
    <w:rsid w:val="0C307D73"/>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9A96E70"/>
    <w:rsid w:val="1A1104E0"/>
    <w:rsid w:val="1A404E9F"/>
    <w:rsid w:val="1AA54268"/>
    <w:rsid w:val="1B173F14"/>
    <w:rsid w:val="1B4641B9"/>
    <w:rsid w:val="1B520DB0"/>
    <w:rsid w:val="1B5D5A1E"/>
    <w:rsid w:val="1B7A68EC"/>
    <w:rsid w:val="1C4F185F"/>
    <w:rsid w:val="1CCA277E"/>
    <w:rsid w:val="1DFB572F"/>
    <w:rsid w:val="1EC5396A"/>
    <w:rsid w:val="1EFB0588"/>
    <w:rsid w:val="20DB5BFD"/>
    <w:rsid w:val="21365D81"/>
    <w:rsid w:val="21556D90"/>
    <w:rsid w:val="21C24E94"/>
    <w:rsid w:val="21D73FEC"/>
    <w:rsid w:val="23736675"/>
    <w:rsid w:val="24B227A0"/>
    <w:rsid w:val="25BA7C7E"/>
    <w:rsid w:val="2666570F"/>
    <w:rsid w:val="26A57681"/>
    <w:rsid w:val="26DB4B05"/>
    <w:rsid w:val="271B299E"/>
    <w:rsid w:val="278E24E7"/>
    <w:rsid w:val="27DD7C53"/>
    <w:rsid w:val="284E3F62"/>
    <w:rsid w:val="28612632"/>
    <w:rsid w:val="2A924D25"/>
    <w:rsid w:val="2BBB15BF"/>
    <w:rsid w:val="2BC20F83"/>
    <w:rsid w:val="2C800474"/>
    <w:rsid w:val="2C8F0671"/>
    <w:rsid w:val="2D5A0475"/>
    <w:rsid w:val="2DA05507"/>
    <w:rsid w:val="2DD811A6"/>
    <w:rsid w:val="2E487134"/>
    <w:rsid w:val="2E8C3709"/>
    <w:rsid w:val="2EB3108B"/>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671332D"/>
    <w:rsid w:val="381E22EE"/>
    <w:rsid w:val="3AF76503"/>
    <w:rsid w:val="3B0209DD"/>
    <w:rsid w:val="3B0C198B"/>
    <w:rsid w:val="3B483C6E"/>
    <w:rsid w:val="3B776F10"/>
    <w:rsid w:val="3B7C7A57"/>
    <w:rsid w:val="3B8E1539"/>
    <w:rsid w:val="3D600CB3"/>
    <w:rsid w:val="3E426F14"/>
    <w:rsid w:val="3EB42189"/>
    <w:rsid w:val="3EC62D97"/>
    <w:rsid w:val="3ED229E9"/>
    <w:rsid w:val="3ED749C4"/>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11331A"/>
    <w:rsid w:val="5EB1144C"/>
    <w:rsid w:val="5EF37781"/>
    <w:rsid w:val="5F6D7131"/>
    <w:rsid w:val="5F7856C5"/>
    <w:rsid w:val="5F8D3E6A"/>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7C529EC"/>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2D80ACF"/>
    <w:rsid w:val="73724CC1"/>
    <w:rsid w:val="7455465F"/>
    <w:rsid w:val="75AB44BA"/>
    <w:rsid w:val="79B7155B"/>
    <w:rsid w:val="79DC07A5"/>
    <w:rsid w:val="79F40E3E"/>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TotalTime>
  <ScaleCrop>false</ScaleCrop>
  <LinksUpToDate>false</LinksUpToDate>
  <CharactersWithSpaces>5662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2024-09-04T06:11:26Z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A44E0A178634409BBBA50D5636087390_13</vt:lpwstr>
  </property>
</Properties>
</file>