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天津市重大项目投资事务中心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天津市重大项目投资事务中心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负责研究重大项目投资管理领域有关问题，为重大项目投资决策提出意见建议；承担重大项目清单管理、监测调度的事务性工作，为重大项目推介对接等重大活动提供服务；运用重大项目信息化系统，对投资项目建设进度、完成投资等数据进行归集整理和分析预测；承担本市世界银行、亚行贷款项目的组织、协调和推动等工作；完成市发展改革委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天津市重大项目投资事务中心内设3个机构；无下辖预算单位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天津市重大项目投资事务中心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天津市重大项目投资事务中心。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2,050,216.68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1,706,104.89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246,466.12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146,550.21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52.72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2,050,269.40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2,099,121.22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67,211.85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18,360.03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65,621.85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1,590.00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2,117,481.25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2,117,481.25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2,050,269.40</w:t>
            </w:r>
          </w:p>
        </w:tc>
        <w:tc>
          <w:tcPr>
            <w:tcW w:w="1240" w:type="dxa"/>
            <w:tcBorders/>
            <w:vAlign w:val="center"/>
          </w:tcPr>
          <w:p>
            <w:pPr>
              <w:snapToGrid w:val="0"/>
              <w:jc w:val="right"/>
            </w:pPr>
            <w:r>
              <w:rPr>
                <w:rFonts w:ascii="宋体" w:eastAsia="宋体" w:hAnsi="宋体" w:cs="宋体"/>
                <w:b w:val="0"/>
                <w:i w:val="0"/>
                <w:color w:val="000000"/>
                <w:sz w:val="14"/>
              </w:rPr>
              <w:t xml:space="preserve">2,050,216.68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52.72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1,712,269.40</w:t>
            </w:r>
          </w:p>
        </w:tc>
        <w:tc>
          <w:tcPr>
            <w:tcW w:w="1240" w:type="dxa"/>
            <w:tcBorders/>
            <w:vAlign w:val="center"/>
          </w:tcPr>
          <w:p>
            <w:pPr>
              <w:snapToGrid w:val="0"/>
              <w:jc w:val="right"/>
            </w:pPr>
            <w:r>
              <w:rPr>
                <w:rFonts w:ascii="宋体" w:eastAsia="宋体" w:hAnsi="宋体" w:cs="宋体"/>
                <w:b w:val="0"/>
                <w:i w:val="0"/>
                <w:color w:val="000000"/>
                <w:sz w:val="14"/>
              </w:rPr>
              <w:t xml:space="preserve">1,712,216.68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52.72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1,712,269.40</w:t>
            </w:r>
          </w:p>
        </w:tc>
        <w:tc>
          <w:tcPr>
            <w:tcW w:w="1240" w:type="dxa"/>
            <w:tcBorders/>
            <w:vAlign w:val="center"/>
          </w:tcPr>
          <w:p>
            <w:pPr>
              <w:snapToGrid w:val="0"/>
              <w:jc w:val="right"/>
            </w:pPr>
            <w:r>
              <w:rPr>
                <w:rFonts w:ascii="宋体" w:eastAsia="宋体" w:hAnsi="宋体" w:cs="宋体"/>
                <w:b w:val="0"/>
                <w:i w:val="0"/>
                <w:color w:val="000000"/>
                <w:sz w:val="14"/>
              </w:rPr>
              <w:t xml:space="preserve">1,712,216.68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52.72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1,712,269.40</w:t>
            </w:r>
          </w:p>
        </w:tc>
        <w:tc>
          <w:tcPr>
            <w:tcW w:w="1240" w:type="dxa"/>
            <w:tcBorders/>
            <w:vAlign w:val="center"/>
          </w:tcPr>
          <w:p>
            <w:pPr>
              <w:snapToGrid w:val="0"/>
              <w:jc w:val="right"/>
            </w:pPr>
            <w:r>
              <w:rPr>
                <w:rFonts w:ascii="宋体" w:eastAsia="宋体" w:hAnsi="宋体" w:cs="宋体"/>
                <w:b w:val="0"/>
                <w:i w:val="0"/>
                <w:color w:val="000000"/>
                <w:sz w:val="14"/>
              </w:rPr>
              <w:t xml:space="preserve">1,712,216.68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52.72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151,000.00</w:t>
            </w:r>
          </w:p>
        </w:tc>
        <w:tc>
          <w:tcPr>
            <w:tcW w:w="1240" w:type="dxa"/>
            <w:tcBorders/>
            <w:vAlign w:val="center"/>
          </w:tcPr>
          <w:p>
            <w:pPr>
              <w:snapToGrid w:val="0"/>
              <w:jc w:val="right"/>
            </w:pPr>
            <w:r>
              <w:rPr>
                <w:rFonts w:ascii="宋体" w:eastAsia="宋体" w:hAnsi="宋体" w:cs="宋体"/>
                <w:b w:val="0"/>
                <w:i w:val="0"/>
                <w:color w:val="000000"/>
                <w:sz w:val="14"/>
              </w:rPr>
              <w:t xml:space="preserve">151,000.00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112,000.00</w:t>
            </w:r>
          </w:p>
        </w:tc>
        <w:tc>
          <w:tcPr>
            <w:tcW w:w="1240" w:type="dxa"/>
            <w:tcBorders/>
            <w:vAlign w:val="center"/>
          </w:tcPr>
          <w:p>
            <w:pPr>
              <w:snapToGrid w:val="0"/>
              <w:jc w:val="right"/>
            </w:pPr>
            <w:r>
              <w:rPr>
                <w:rFonts w:ascii="宋体" w:eastAsia="宋体" w:hAnsi="宋体" w:cs="宋体"/>
                <w:b w:val="0"/>
                <w:i w:val="0"/>
                <w:color w:val="000000"/>
                <w:sz w:val="14"/>
              </w:rPr>
              <w:t xml:space="preserve">112,000.00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112,000.00</w:t>
            </w:r>
          </w:p>
        </w:tc>
        <w:tc>
          <w:tcPr>
            <w:tcW w:w="1240" w:type="dxa"/>
            <w:tcBorders/>
            <w:vAlign w:val="center"/>
          </w:tcPr>
          <w:p>
            <w:pPr>
              <w:snapToGrid w:val="0"/>
              <w:jc w:val="right"/>
            </w:pPr>
            <w:r>
              <w:rPr>
                <w:rFonts w:ascii="宋体" w:eastAsia="宋体" w:hAnsi="宋体" w:cs="宋体"/>
                <w:b w:val="0"/>
                <w:i w:val="0"/>
                <w:color w:val="000000"/>
                <w:sz w:val="14"/>
              </w:rPr>
              <w:t xml:space="preserve">112,000.00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92,000.00</w:t>
            </w:r>
          </w:p>
        </w:tc>
        <w:tc>
          <w:tcPr>
            <w:tcW w:w="1240" w:type="dxa"/>
            <w:tcBorders/>
            <w:vAlign w:val="center"/>
          </w:tcPr>
          <w:p>
            <w:pPr>
              <w:snapToGrid w:val="0"/>
              <w:jc w:val="right"/>
            </w:pPr>
            <w:r>
              <w:rPr>
                <w:rFonts w:ascii="宋体" w:eastAsia="宋体" w:hAnsi="宋体" w:cs="宋体"/>
                <w:b w:val="0"/>
                <w:i w:val="0"/>
                <w:color w:val="000000"/>
                <w:sz w:val="14"/>
              </w:rPr>
              <w:t xml:space="preserve">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2,117,481.25</w:t>
            </w:r>
          </w:p>
        </w:tc>
        <w:tc>
          <w:tcPr>
            <w:tcW w:w="580" w:type="dxa"/>
            <w:tcBorders/>
            <w:vAlign w:val="center"/>
          </w:tcPr>
          <w:p>
            <w:pPr>
              <w:snapToGrid w:val="0"/>
              <w:jc w:val="right"/>
            </w:pPr>
            <w:r>
              <w:rPr>
                <w:rFonts w:ascii="宋体" w:eastAsia="宋体" w:hAnsi="宋体" w:cs="宋体"/>
                <w:b w:val="0"/>
                <w:i w:val="0"/>
                <w:color w:val="000000"/>
                <w:sz w:val="9"/>
              </w:rPr>
              <w:t xml:space="preserve">2,050,269.40</w:t>
            </w:r>
          </w:p>
        </w:tc>
        <w:tc>
          <w:tcPr>
            <w:tcW w:w="580" w:type="dxa"/>
            <w:tcBorders/>
            <w:vAlign w:val="center"/>
          </w:tcPr>
          <w:p>
            <w:pPr>
              <w:snapToGrid w:val="0"/>
              <w:jc w:val="right"/>
            </w:pPr>
            <w:r>
              <w:rPr>
                <w:rFonts w:ascii="宋体" w:eastAsia="宋体" w:hAnsi="宋体" w:cs="宋体"/>
                <w:b w:val="0"/>
                <w:i w:val="0"/>
                <w:color w:val="000000"/>
                <w:sz w:val="9"/>
              </w:rPr>
              <w:t xml:space="preserve">2,050,216.68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52.72</w:t>
            </w:r>
          </w:p>
        </w:tc>
        <w:tc>
          <w:tcPr>
            <w:tcW w:w="580" w:type="dxa"/>
            <w:tcBorders/>
            <w:vAlign w:val="center"/>
          </w:tcPr>
          <w:p>
            <w:pPr>
              <w:snapToGrid w:val="0"/>
              <w:jc w:val="right"/>
            </w:pPr>
            <w:r>
              <w:rPr>
                <w:rFonts w:ascii="宋体" w:eastAsia="宋体" w:hAnsi="宋体" w:cs="宋体"/>
                <w:b w:val="0"/>
                <w:i w:val="0"/>
                <w:color w:val="000000"/>
                <w:sz w:val="9"/>
              </w:rPr>
              <w:t xml:space="preserve">67,211.85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1,590.00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1,590.00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321205</w:t>
            </w:r>
          </w:p>
        </w:tc>
        <w:tc>
          <w:tcPr>
            <w:tcW w:w="1520" w:type="dxa"/>
            <w:tcBorders/>
            <w:vAlign w:val="center"/>
          </w:tcPr>
          <w:p>
            <w:pPr>
              <w:snapToGrid w:val="0"/>
              <w:jc w:val="center"/>
            </w:pPr>
            <w:r>
              <w:rPr>
                <w:rFonts w:ascii="宋体" w:eastAsia="宋体" w:hAnsi="宋体" w:cs="宋体"/>
                <w:b w:val="0"/>
                <w:i w:val="0"/>
                <w:color w:val="000000"/>
                <w:sz w:val="9"/>
              </w:rPr>
              <w:t xml:space="preserve">天津市重大项目投资事务中心</w:t>
            </w:r>
          </w:p>
        </w:tc>
        <w:tc>
          <w:tcPr>
            <w:tcW w:w="580" w:type="dxa"/>
            <w:tcBorders/>
            <w:vAlign w:val="center"/>
          </w:tcPr>
          <w:p>
            <w:pPr>
              <w:snapToGrid w:val="0"/>
              <w:jc w:val="right"/>
            </w:pPr>
            <w:r>
              <w:rPr>
                <w:rFonts w:ascii="宋体" w:eastAsia="宋体" w:hAnsi="宋体" w:cs="宋体"/>
                <w:b w:val="0"/>
                <w:i w:val="0"/>
                <w:color w:val="000000"/>
                <w:sz w:val="9"/>
              </w:rPr>
              <w:t xml:space="preserve">2,117,481.25</w:t>
            </w:r>
          </w:p>
        </w:tc>
        <w:tc>
          <w:tcPr>
            <w:tcW w:w="580" w:type="dxa"/>
            <w:tcBorders/>
            <w:vAlign w:val="center"/>
          </w:tcPr>
          <w:p>
            <w:pPr>
              <w:snapToGrid w:val="0"/>
              <w:jc w:val="right"/>
            </w:pPr>
            <w:r>
              <w:rPr>
                <w:rFonts w:ascii="宋体" w:eastAsia="宋体" w:hAnsi="宋体" w:cs="宋体"/>
                <w:b w:val="0"/>
                <w:i w:val="0"/>
                <w:color w:val="000000"/>
                <w:sz w:val="9"/>
              </w:rPr>
              <w:t xml:space="preserve">2,050,269.40</w:t>
            </w:r>
          </w:p>
        </w:tc>
        <w:tc>
          <w:tcPr>
            <w:tcW w:w="580" w:type="dxa"/>
            <w:tcBorders/>
            <w:vAlign w:val="center"/>
          </w:tcPr>
          <w:p>
            <w:pPr>
              <w:snapToGrid w:val="0"/>
              <w:jc w:val="right"/>
            </w:pPr>
            <w:r>
              <w:rPr>
                <w:rFonts w:ascii="宋体" w:eastAsia="宋体" w:hAnsi="宋体" w:cs="宋体"/>
                <w:b w:val="0"/>
                <w:i w:val="0"/>
                <w:color w:val="000000"/>
                <w:sz w:val="9"/>
              </w:rPr>
              <w:t xml:space="preserve">2,050,216.68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52.72</w:t>
            </w:r>
          </w:p>
        </w:tc>
        <w:tc>
          <w:tcPr>
            <w:tcW w:w="580" w:type="dxa"/>
            <w:tcBorders/>
            <w:vAlign w:val="center"/>
          </w:tcPr>
          <w:p>
            <w:pPr>
              <w:snapToGrid w:val="0"/>
              <w:jc w:val="right"/>
            </w:pPr>
            <w:r>
              <w:rPr>
                <w:rFonts w:ascii="宋体" w:eastAsia="宋体" w:hAnsi="宋体" w:cs="宋体"/>
                <w:b w:val="0"/>
                <w:i w:val="0"/>
                <w:color w:val="000000"/>
                <w:sz w:val="9"/>
              </w:rPr>
              <w:t xml:space="preserve">67,211.85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snapToGrid w:val="0"/>
              <w:jc w:val="right"/>
            </w:pPr>
            <w:r>
              <w:rPr>
                <w:rFonts w:ascii="宋体" w:eastAsia="宋体" w:hAnsi="宋体" w:cs="宋体"/>
                <w:b w:val="0"/>
                <w:i w:val="0"/>
                <w:color w:val="000000"/>
                <w:sz w:val="9"/>
              </w:rPr>
              <w:t xml:space="preserve">65,621.85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1,590.00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1,590.00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2,099,121.22</w:t>
            </w:r>
          </w:p>
        </w:tc>
        <w:tc>
          <w:tcPr>
            <w:tcW w:w="1320" w:type="dxa"/>
            <w:tcBorders/>
            <w:vAlign w:val="center"/>
          </w:tcPr>
          <w:p>
            <w:pPr>
              <w:snapToGrid w:val="0"/>
              <w:jc w:val="right"/>
            </w:pPr>
            <w:r>
              <w:rPr>
                <w:rFonts w:ascii="宋体" w:eastAsia="宋体" w:hAnsi="宋体" w:cs="宋体"/>
                <w:b w:val="0"/>
                <w:i w:val="0"/>
                <w:color w:val="000000"/>
                <w:sz w:val="15"/>
              </w:rPr>
              <w:t xml:space="preserve">2,099,121.22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1,706,104.89</w:t>
            </w:r>
          </w:p>
        </w:tc>
        <w:tc>
          <w:tcPr>
            <w:tcW w:w="1320" w:type="dxa"/>
            <w:tcBorders/>
            <w:vAlign w:val="center"/>
          </w:tcPr>
          <w:p>
            <w:pPr>
              <w:snapToGrid w:val="0"/>
              <w:jc w:val="right"/>
            </w:pPr>
            <w:r>
              <w:rPr>
                <w:rFonts w:ascii="宋体" w:eastAsia="宋体" w:hAnsi="宋体" w:cs="宋体"/>
                <w:b w:val="0"/>
                <w:i w:val="0"/>
                <w:color w:val="000000"/>
                <w:sz w:val="15"/>
              </w:rPr>
              <w:t xml:space="preserve">1,706,104.89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1,706,104.89</w:t>
            </w:r>
          </w:p>
        </w:tc>
        <w:tc>
          <w:tcPr>
            <w:tcW w:w="1320" w:type="dxa"/>
            <w:tcBorders/>
            <w:vAlign w:val="center"/>
          </w:tcPr>
          <w:p>
            <w:pPr>
              <w:snapToGrid w:val="0"/>
              <w:jc w:val="right"/>
            </w:pPr>
            <w:r>
              <w:rPr>
                <w:rFonts w:ascii="宋体" w:eastAsia="宋体" w:hAnsi="宋体" w:cs="宋体"/>
                <w:b w:val="0"/>
                <w:i w:val="0"/>
                <w:color w:val="000000"/>
                <w:sz w:val="15"/>
              </w:rPr>
              <w:t xml:space="preserve">1,706,104.89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1,706,104.89</w:t>
            </w:r>
          </w:p>
        </w:tc>
        <w:tc>
          <w:tcPr>
            <w:tcW w:w="1320" w:type="dxa"/>
            <w:tcBorders/>
            <w:vAlign w:val="center"/>
          </w:tcPr>
          <w:p>
            <w:pPr>
              <w:snapToGrid w:val="0"/>
              <w:jc w:val="right"/>
            </w:pPr>
            <w:r>
              <w:rPr>
                <w:rFonts w:ascii="宋体" w:eastAsia="宋体" w:hAnsi="宋体" w:cs="宋体"/>
                <w:b w:val="0"/>
                <w:i w:val="0"/>
                <w:color w:val="000000"/>
                <w:sz w:val="15"/>
              </w:rPr>
              <w:t xml:space="preserve">1,706,104.89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246,466.12</w:t>
            </w:r>
          </w:p>
        </w:tc>
        <w:tc>
          <w:tcPr>
            <w:tcW w:w="1320" w:type="dxa"/>
            <w:tcBorders/>
            <w:vAlign w:val="center"/>
          </w:tcPr>
          <w:p>
            <w:pPr>
              <w:snapToGrid w:val="0"/>
              <w:jc w:val="right"/>
            </w:pPr>
            <w:r>
              <w:rPr>
                <w:rFonts w:ascii="宋体" w:eastAsia="宋体" w:hAnsi="宋体" w:cs="宋体"/>
                <w:b w:val="0"/>
                <w:i w:val="0"/>
                <w:color w:val="000000"/>
                <w:sz w:val="15"/>
              </w:rPr>
              <w:t xml:space="preserve">246,466.12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246,466.12</w:t>
            </w:r>
          </w:p>
        </w:tc>
        <w:tc>
          <w:tcPr>
            <w:tcW w:w="1320" w:type="dxa"/>
            <w:tcBorders/>
            <w:vAlign w:val="center"/>
          </w:tcPr>
          <w:p>
            <w:pPr>
              <w:snapToGrid w:val="0"/>
              <w:jc w:val="right"/>
            </w:pPr>
            <w:r>
              <w:rPr>
                <w:rFonts w:ascii="宋体" w:eastAsia="宋体" w:hAnsi="宋体" w:cs="宋体"/>
                <w:b w:val="0"/>
                <w:i w:val="0"/>
                <w:color w:val="000000"/>
                <w:sz w:val="15"/>
              </w:rPr>
              <w:t xml:space="preserve">246,466.12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160,360.60</w:t>
            </w:r>
          </w:p>
        </w:tc>
        <w:tc>
          <w:tcPr>
            <w:tcW w:w="1320" w:type="dxa"/>
            <w:tcBorders/>
            <w:vAlign w:val="center"/>
          </w:tcPr>
          <w:p>
            <w:pPr>
              <w:snapToGrid w:val="0"/>
              <w:jc w:val="right"/>
            </w:pPr>
            <w:r>
              <w:rPr>
                <w:rFonts w:ascii="宋体" w:eastAsia="宋体" w:hAnsi="宋体" w:cs="宋体"/>
                <w:b w:val="0"/>
                <w:i w:val="0"/>
                <w:color w:val="000000"/>
                <w:sz w:val="15"/>
              </w:rPr>
              <w:t xml:space="preserve">160,360.60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86,105.52</w:t>
            </w:r>
          </w:p>
        </w:tc>
        <w:tc>
          <w:tcPr>
            <w:tcW w:w="1320" w:type="dxa"/>
            <w:tcBorders/>
            <w:vAlign w:val="center"/>
          </w:tcPr>
          <w:p>
            <w:pPr>
              <w:snapToGrid w:val="0"/>
              <w:jc w:val="right"/>
            </w:pPr>
            <w:r>
              <w:rPr>
                <w:rFonts w:ascii="宋体" w:eastAsia="宋体" w:hAnsi="宋体" w:cs="宋体"/>
                <w:b w:val="0"/>
                <w:i w:val="0"/>
                <w:color w:val="000000"/>
                <w:sz w:val="15"/>
              </w:rPr>
              <w:t xml:space="preserve">86,105.52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146,550.21</w:t>
            </w:r>
          </w:p>
        </w:tc>
        <w:tc>
          <w:tcPr>
            <w:tcW w:w="1320" w:type="dxa"/>
            <w:tcBorders/>
            <w:vAlign w:val="center"/>
          </w:tcPr>
          <w:p>
            <w:pPr>
              <w:snapToGrid w:val="0"/>
              <w:jc w:val="right"/>
            </w:pPr>
            <w:r>
              <w:rPr>
                <w:rFonts w:ascii="宋体" w:eastAsia="宋体" w:hAnsi="宋体" w:cs="宋体"/>
                <w:b w:val="0"/>
                <w:i w:val="0"/>
                <w:color w:val="000000"/>
                <w:sz w:val="15"/>
              </w:rPr>
              <w:t xml:space="preserve">146,550.21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146,550.21</w:t>
            </w:r>
          </w:p>
        </w:tc>
        <w:tc>
          <w:tcPr>
            <w:tcW w:w="1320" w:type="dxa"/>
            <w:tcBorders/>
            <w:vAlign w:val="center"/>
          </w:tcPr>
          <w:p>
            <w:pPr>
              <w:snapToGrid w:val="0"/>
              <w:jc w:val="right"/>
            </w:pPr>
            <w:r>
              <w:rPr>
                <w:rFonts w:ascii="宋体" w:eastAsia="宋体" w:hAnsi="宋体" w:cs="宋体"/>
                <w:b w:val="0"/>
                <w:i w:val="0"/>
                <w:color w:val="000000"/>
                <w:sz w:val="15"/>
              </w:rPr>
              <w:t xml:space="preserve">146,550.21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108,899.33</w:t>
            </w:r>
          </w:p>
        </w:tc>
        <w:tc>
          <w:tcPr>
            <w:tcW w:w="1320" w:type="dxa"/>
            <w:tcBorders/>
            <w:vAlign w:val="center"/>
          </w:tcPr>
          <w:p>
            <w:pPr>
              <w:snapToGrid w:val="0"/>
              <w:jc w:val="right"/>
            </w:pPr>
            <w:r>
              <w:rPr>
                <w:rFonts w:ascii="宋体" w:eastAsia="宋体" w:hAnsi="宋体" w:cs="宋体"/>
                <w:b w:val="0"/>
                <w:i w:val="0"/>
                <w:color w:val="000000"/>
                <w:sz w:val="15"/>
              </w:rPr>
              <w:t xml:space="preserve">108,899.33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37,650.88</w:t>
            </w:r>
          </w:p>
        </w:tc>
        <w:tc>
          <w:tcPr>
            <w:tcW w:w="1320" w:type="dxa"/>
            <w:tcBorders/>
            <w:vAlign w:val="center"/>
          </w:tcPr>
          <w:p>
            <w:pPr>
              <w:snapToGrid w:val="0"/>
              <w:jc w:val="right"/>
            </w:pPr>
            <w:r>
              <w:rPr>
                <w:rFonts w:ascii="宋体" w:eastAsia="宋体" w:hAnsi="宋体" w:cs="宋体"/>
                <w:b w:val="0"/>
                <w:i w:val="0"/>
                <w:color w:val="000000"/>
                <w:sz w:val="15"/>
              </w:rPr>
              <w:t xml:space="preserve">37,650.88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2,050,216.68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1,706,104.89</w:t>
            </w:r>
          </w:p>
        </w:tc>
        <w:tc>
          <w:tcPr>
            <w:tcW w:w="1420" w:type="dxa"/>
            <w:tcBorders/>
            <w:vAlign w:val="center"/>
          </w:tcPr>
          <w:p>
            <w:pPr>
              <w:snapToGrid w:val="0"/>
              <w:jc w:val="right"/>
            </w:pPr>
            <w:r>
              <w:rPr>
                <w:rFonts w:ascii="宋体" w:eastAsia="宋体" w:hAnsi="宋体" w:cs="宋体"/>
                <w:b w:val="0"/>
                <w:i w:val="0"/>
                <w:color w:val="000000"/>
                <w:sz w:val="16"/>
              </w:rPr>
              <w:t xml:space="preserve">1,706,104.89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246,466.12</w:t>
            </w:r>
          </w:p>
        </w:tc>
        <w:tc>
          <w:tcPr>
            <w:tcW w:w="1420" w:type="dxa"/>
            <w:tcBorders/>
            <w:vAlign w:val="center"/>
          </w:tcPr>
          <w:p>
            <w:pPr>
              <w:snapToGrid w:val="0"/>
              <w:jc w:val="right"/>
            </w:pPr>
            <w:r>
              <w:rPr>
                <w:rFonts w:ascii="宋体" w:eastAsia="宋体" w:hAnsi="宋体" w:cs="宋体"/>
                <w:b w:val="0"/>
                <w:i w:val="0"/>
                <w:color w:val="000000"/>
                <w:sz w:val="16"/>
              </w:rPr>
              <w:t xml:space="preserve">246,466.12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146,550.21</w:t>
            </w:r>
          </w:p>
        </w:tc>
        <w:tc>
          <w:tcPr>
            <w:tcW w:w="1420" w:type="dxa"/>
            <w:tcBorders/>
            <w:vAlign w:val="center"/>
          </w:tcPr>
          <w:p>
            <w:pPr>
              <w:snapToGrid w:val="0"/>
              <w:jc w:val="right"/>
            </w:pPr>
            <w:r>
              <w:rPr>
                <w:rFonts w:ascii="宋体" w:eastAsia="宋体" w:hAnsi="宋体" w:cs="宋体"/>
                <w:b w:val="0"/>
                <w:i w:val="0"/>
                <w:color w:val="000000"/>
                <w:sz w:val="16"/>
              </w:rPr>
              <w:t xml:space="preserve">146,550.21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2,050,216.68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2,099,121.22</w:t>
            </w:r>
          </w:p>
        </w:tc>
        <w:tc>
          <w:tcPr>
            <w:tcW w:w="1420" w:type="dxa"/>
            <w:tcBorders/>
            <w:vAlign w:val="center"/>
          </w:tcPr>
          <w:p>
            <w:pPr>
              <w:snapToGrid w:val="0"/>
              <w:jc w:val="right"/>
            </w:pPr>
            <w:r>
              <w:rPr>
                <w:rFonts w:ascii="宋体" w:eastAsia="宋体" w:hAnsi="宋体" w:cs="宋体"/>
                <w:b w:val="0"/>
                <w:i w:val="0"/>
                <w:color w:val="000000"/>
                <w:sz w:val="16"/>
              </w:rPr>
              <w:t xml:space="preserve">2,099,121.22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65,621.85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16,717.31</w:t>
            </w:r>
          </w:p>
        </w:tc>
        <w:tc>
          <w:tcPr>
            <w:tcW w:w="1420" w:type="dxa"/>
            <w:tcBorders/>
            <w:vAlign w:val="center"/>
          </w:tcPr>
          <w:p>
            <w:pPr>
              <w:snapToGrid w:val="0"/>
              <w:jc w:val="right"/>
            </w:pPr>
            <w:r>
              <w:rPr>
                <w:rFonts w:ascii="宋体" w:eastAsia="宋体" w:hAnsi="宋体" w:cs="宋体"/>
                <w:b w:val="0"/>
                <w:i w:val="0"/>
                <w:color w:val="000000"/>
                <w:sz w:val="16"/>
              </w:rPr>
              <w:t xml:space="preserve">16,717.31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65,621.85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2,115,838.53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2,115,838.53</w:t>
            </w:r>
          </w:p>
        </w:tc>
        <w:tc>
          <w:tcPr>
            <w:tcW w:w="1420" w:type="dxa"/>
            <w:tcBorders/>
            <w:vAlign w:val="center"/>
          </w:tcPr>
          <w:p>
            <w:pPr>
              <w:snapToGrid w:val="0"/>
              <w:jc w:val="right"/>
            </w:pPr>
            <w:r>
              <w:rPr>
                <w:rFonts w:ascii="宋体" w:eastAsia="宋体" w:hAnsi="宋体" w:cs="宋体"/>
                <w:b w:val="0"/>
                <w:i w:val="0"/>
                <w:color w:val="000000"/>
                <w:sz w:val="16"/>
              </w:rPr>
              <w:t xml:space="preserve">2,115,838.53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2,099,121.22</w:t>
            </w:r>
          </w:p>
        </w:tc>
        <w:tc>
          <w:tcPr>
            <w:tcW w:w="1720" w:type="dxa"/>
            <w:tcBorders/>
            <w:vAlign w:val="center"/>
          </w:tcPr>
          <w:p>
            <w:pPr>
              <w:snapToGrid w:val="0"/>
              <w:jc w:val="right"/>
            </w:pPr>
            <w:r>
              <w:rPr>
                <w:rFonts w:ascii="宋体" w:eastAsia="宋体" w:hAnsi="宋体" w:cs="宋体"/>
                <w:b w:val="0"/>
                <w:i w:val="0"/>
                <w:color w:val="000000"/>
                <w:sz w:val="20"/>
              </w:rPr>
              <w:t xml:space="preserve">2,099,121.22</w:t>
            </w:r>
          </w:p>
        </w:tc>
        <w:tc>
          <w:tcPr>
            <w:tcW w:w="1720" w:type="dxa"/>
            <w:tcBorders/>
            <w:vAlign w:val="center"/>
          </w:tcPr>
          <w:p>
            <w:pPr>
              <w:snapToGrid w:val="0"/>
              <w:jc w:val="right"/>
            </w:pPr>
            <w:r>
              <w:rPr>
                <w:rFonts w:ascii="宋体" w:eastAsia="宋体" w:hAnsi="宋体" w:cs="宋体"/>
                <w:b w:val="0"/>
                <w:i w:val="0"/>
                <w:color w:val="000000"/>
                <w:sz w:val="20"/>
              </w:rPr>
              <w:t xml:space="preserve">1,912,921.22</w:t>
            </w:r>
          </w:p>
        </w:tc>
        <w:tc>
          <w:tcPr>
            <w:tcW w:w="1720" w:type="dxa"/>
            <w:tcBorders/>
            <w:vAlign w:val="center"/>
          </w:tcPr>
          <w:p>
            <w:pPr>
              <w:snapToGrid w:val="0"/>
              <w:jc w:val="right"/>
            </w:pPr>
            <w:r>
              <w:rPr>
                <w:rFonts w:ascii="宋体" w:eastAsia="宋体" w:hAnsi="宋体" w:cs="宋体"/>
                <w:b w:val="0"/>
                <w:i w:val="0"/>
                <w:color w:val="000000"/>
                <w:sz w:val="20"/>
              </w:rPr>
              <w:t xml:space="preserve">186,200.00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1,706,104.89</w:t>
            </w:r>
          </w:p>
        </w:tc>
        <w:tc>
          <w:tcPr>
            <w:tcW w:w="1720" w:type="dxa"/>
            <w:tcBorders/>
            <w:vAlign w:val="center"/>
          </w:tcPr>
          <w:p>
            <w:pPr>
              <w:snapToGrid w:val="0"/>
              <w:jc w:val="right"/>
            </w:pPr>
            <w:r>
              <w:rPr>
                <w:rFonts w:ascii="宋体" w:eastAsia="宋体" w:hAnsi="宋体" w:cs="宋体"/>
                <w:b w:val="0"/>
                <w:i w:val="0"/>
                <w:color w:val="000000"/>
                <w:sz w:val="20"/>
              </w:rPr>
              <w:t xml:space="preserve">1,706,104.89</w:t>
            </w:r>
          </w:p>
        </w:tc>
        <w:tc>
          <w:tcPr>
            <w:tcW w:w="1720" w:type="dxa"/>
            <w:tcBorders/>
            <w:vAlign w:val="center"/>
          </w:tcPr>
          <w:p>
            <w:pPr>
              <w:snapToGrid w:val="0"/>
              <w:jc w:val="right"/>
            </w:pPr>
            <w:r>
              <w:rPr>
                <w:rFonts w:ascii="宋体" w:eastAsia="宋体" w:hAnsi="宋体" w:cs="宋体"/>
                <w:b w:val="0"/>
                <w:i w:val="0"/>
                <w:color w:val="000000"/>
                <w:sz w:val="20"/>
              </w:rPr>
              <w:t xml:space="preserve">1,519,904.89</w:t>
            </w:r>
          </w:p>
        </w:tc>
        <w:tc>
          <w:tcPr>
            <w:tcW w:w="1720" w:type="dxa"/>
            <w:tcBorders/>
            <w:vAlign w:val="center"/>
          </w:tcPr>
          <w:p>
            <w:pPr>
              <w:snapToGrid w:val="0"/>
              <w:jc w:val="right"/>
            </w:pPr>
            <w:r>
              <w:rPr>
                <w:rFonts w:ascii="宋体" w:eastAsia="宋体" w:hAnsi="宋体" w:cs="宋体"/>
                <w:b w:val="0"/>
                <w:i w:val="0"/>
                <w:color w:val="000000"/>
                <w:sz w:val="20"/>
              </w:rPr>
              <w:t xml:space="preserve">186,200.00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w:t>
            </w:r>
          </w:p>
        </w:tc>
        <w:tc>
          <w:tcPr>
            <w:tcW w:w="3480" w:type="dxa"/>
            <w:tcBorders/>
            <w:vAlign w:val="center"/>
          </w:tcPr>
          <w:p>
            <w:pPr>
              <w:snapToGrid w:val="0"/>
              <w:jc w:val="left"/>
            </w:pPr>
            <w:r>
              <w:rPr>
                <w:rFonts w:ascii="宋体" w:eastAsia="宋体" w:hAnsi="宋体" w:cs="宋体"/>
                <w:b w:val="0"/>
                <w:i w:val="0"/>
                <w:color w:val="000000"/>
                <w:sz w:val="20"/>
              </w:rPr>
              <w:t xml:space="preserve">发展与改革事务</w:t>
            </w:r>
          </w:p>
        </w:tc>
        <w:tc>
          <w:tcPr>
            <w:tcW w:w="1720" w:type="dxa"/>
            <w:tcBorders/>
            <w:vAlign w:val="center"/>
          </w:tcPr>
          <w:p>
            <w:pPr>
              <w:snapToGrid w:val="0"/>
              <w:jc w:val="right"/>
            </w:pPr>
            <w:r>
              <w:rPr>
                <w:rFonts w:ascii="宋体" w:eastAsia="宋体" w:hAnsi="宋体" w:cs="宋体"/>
                <w:b w:val="0"/>
                <w:i w:val="0"/>
                <w:color w:val="000000"/>
                <w:sz w:val="20"/>
              </w:rPr>
              <w:t xml:space="preserve">1,706,104.89</w:t>
            </w:r>
          </w:p>
        </w:tc>
        <w:tc>
          <w:tcPr>
            <w:tcW w:w="1720" w:type="dxa"/>
            <w:tcBorders/>
            <w:vAlign w:val="center"/>
          </w:tcPr>
          <w:p>
            <w:pPr>
              <w:snapToGrid w:val="0"/>
              <w:jc w:val="right"/>
            </w:pPr>
            <w:r>
              <w:rPr>
                <w:rFonts w:ascii="宋体" w:eastAsia="宋体" w:hAnsi="宋体" w:cs="宋体"/>
                <w:b w:val="0"/>
                <w:i w:val="0"/>
                <w:color w:val="000000"/>
                <w:sz w:val="20"/>
              </w:rPr>
              <w:t xml:space="preserve">1,706,104.89</w:t>
            </w:r>
          </w:p>
        </w:tc>
        <w:tc>
          <w:tcPr>
            <w:tcW w:w="1720" w:type="dxa"/>
            <w:tcBorders/>
            <w:vAlign w:val="center"/>
          </w:tcPr>
          <w:p>
            <w:pPr>
              <w:snapToGrid w:val="0"/>
              <w:jc w:val="right"/>
            </w:pPr>
            <w:r>
              <w:rPr>
                <w:rFonts w:ascii="宋体" w:eastAsia="宋体" w:hAnsi="宋体" w:cs="宋体"/>
                <w:b w:val="0"/>
                <w:i w:val="0"/>
                <w:color w:val="000000"/>
                <w:sz w:val="20"/>
              </w:rPr>
              <w:t xml:space="preserve">1,519,904.89</w:t>
            </w:r>
          </w:p>
        </w:tc>
        <w:tc>
          <w:tcPr>
            <w:tcW w:w="1720" w:type="dxa"/>
            <w:tcBorders/>
            <w:vAlign w:val="center"/>
          </w:tcPr>
          <w:p>
            <w:pPr>
              <w:snapToGrid w:val="0"/>
              <w:jc w:val="right"/>
            </w:pPr>
            <w:r>
              <w:rPr>
                <w:rFonts w:ascii="宋体" w:eastAsia="宋体" w:hAnsi="宋体" w:cs="宋体"/>
                <w:b w:val="0"/>
                <w:i w:val="0"/>
                <w:color w:val="000000"/>
                <w:sz w:val="20"/>
              </w:rPr>
              <w:t xml:space="preserve">186,200.00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1,706,104.89</w:t>
            </w:r>
          </w:p>
        </w:tc>
        <w:tc>
          <w:tcPr>
            <w:tcW w:w="1720" w:type="dxa"/>
            <w:tcBorders/>
            <w:vAlign w:val="center"/>
          </w:tcPr>
          <w:p>
            <w:pPr>
              <w:snapToGrid w:val="0"/>
              <w:jc w:val="right"/>
            </w:pPr>
            <w:r>
              <w:rPr>
                <w:rFonts w:ascii="宋体" w:eastAsia="宋体" w:hAnsi="宋体" w:cs="宋体"/>
                <w:b w:val="0"/>
                <w:i w:val="0"/>
                <w:color w:val="000000"/>
                <w:sz w:val="20"/>
              </w:rPr>
              <w:t xml:space="preserve">1,706,104.89</w:t>
            </w:r>
          </w:p>
        </w:tc>
        <w:tc>
          <w:tcPr>
            <w:tcW w:w="1720" w:type="dxa"/>
            <w:tcBorders/>
            <w:vAlign w:val="center"/>
          </w:tcPr>
          <w:p>
            <w:pPr>
              <w:snapToGrid w:val="0"/>
              <w:jc w:val="right"/>
            </w:pPr>
            <w:r>
              <w:rPr>
                <w:rFonts w:ascii="宋体" w:eastAsia="宋体" w:hAnsi="宋体" w:cs="宋体"/>
                <w:b w:val="0"/>
                <w:i w:val="0"/>
                <w:color w:val="000000"/>
                <w:sz w:val="20"/>
              </w:rPr>
              <w:t xml:space="preserve">1,519,904.89</w:t>
            </w:r>
          </w:p>
        </w:tc>
        <w:tc>
          <w:tcPr>
            <w:tcW w:w="1720" w:type="dxa"/>
            <w:tcBorders/>
            <w:vAlign w:val="center"/>
          </w:tcPr>
          <w:p>
            <w:pPr>
              <w:snapToGrid w:val="0"/>
              <w:jc w:val="right"/>
            </w:pPr>
            <w:r>
              <w:rPr>
                <w:rFonts w:ascii="宋体" w:eastAsia="宋体" w:hAnsi="宋体" w:cs="宋体"/>
                <w:b w:val="0"/>
                <w:i w:val="0"/>
                <w:color w:val="000000"/>
                <w:sz w:val="20"/>
              </w:rPr>
              <w:t xml:space="preserve">186,200.00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246,466.12</w:t>
            </w:r>
          </w:p>
        </w:tc>
        <w:tc>
          <w:tcPr>
            <w:tcW w:w="1720" w:type="dxa"/>
            <w:tcBorders/>
            <w:vAlign w:val="center"/>
          </w:tcPr>
          <w:p>
            <w:pPr>
              <w:snapToGrid w:val="0"/>
              <w:jc w:val="right"/>
            </w:pPr>
            <w:r>
              <w:rPr>
                <w:rFonts w:ascii="宋体" w:eastAsia="宋体" w:hAnsi="宋体" w:cs="宋体"/>
                <w:b w:val="0"/>
                <w:i w:val="0"/>
                <w:color w:val="000000"/>
                <w:sz w:val="20"/>
              </w:rPr>
              <w:t xml:space="preserve">246,466.12</w:t>
            </w:r>
          </w:p>
        </w:tc>
        <w:tc>
          <w:tcPr>
            <w:tcW w:w="1720" w:type="dxa"/>
            <w:tcBorders/>
            <w:vAlign w:val="center"/>
          </w:tcPr>
          <w:p>
            <w:pPr>
              <w:snapToGrid w:val="0"/>
              <w:jc w:val="right"/>
            </w:pPr>
            <w:r>
              <w:rPr>
                <w:rFonts w:ascii="宋体" w:eastAsia="宋体" w:hAnsi="宋体" w:cs="宋体"/>
                <w:b w:val="0"/>
                <w:i w:val="0"/>
                <w:color w:val="000000"/>
                <w:sz w:val="20"/>
              </w:rPr>
              <w:t xml:space="preserve">246,466.12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246,466.12</w:t>
            </w:r>
          </w:p>
        </w:tc>
        <w:tc>
          <w:tcPr>
            <w:tcW w:w="1720" w:type="dxa"/>
            <w:tcBorders/>
            <w:vAlign w:val="center"/>
          </w:tcPr>
          <w:p>
            <w:pPr>
              <w:snapToGrid w:val="0"/>
              <w:jc w:val="right"/>
            </w:pPr>
            <w:r>
              <w:rPr>
                <w:rFonts w:ascii="宋体" w:eastAsia="宋体" w:hAnsi="宋体" w:cs="宋体"/>
                <w:b w:val="0"/>
                <w:i w:val="0"/>
                <w:color w:val="000000"/>
                <w:sz w:val="20"/>
              </w:rPr>
              <w:t xml:space="preserve">246,466.12</w:t>
            </w:r>
          </w:p>
        </w:tc>
        <w:tc>
          <w:tcPr>
            <w:tcW w:w="1720" w:type="dxa"/>
            <w:tcBorders/>
            <w:vAlign w:val="center"/>
          </w:tcPr>
          <w:p>
            <w:pPr>
              <w:snapToGrid w:val="0"/>
              <w:jc w:val="right"/>
            </w:pPr>
            <w:r>
              <w:rPr>
                <w:rFonts w:ascii="宋体" w:eastAsia="宋体" w:hAnsi="宋体" w:cs="宋体"/>
                <w:b w:val="0"/>
                <w:i w:val="0"/>
                <w:color w:val="000000"/>
                <w:sz w:val="20"/>
              </w:rPr>
              <w:t xml:space="preserve">246,466.12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160,360.60</w:t>
            </w:r>
          </w:p>
        </w:tc>
        <w:tc>
          <w:tcPr>
            <w:tcW w:w="1720" w:type="dxa"/>
            <w:tcBorders/>
            <w:vAlign w:val="center"/>
          </w:tcPr>
          <w:p>
            <w:pPr>
              <w:snapToGrid w:val="0"/>
              <w:jc w:val="right"/>
            </w:pPr>
            <w:r>
              <w:rPr>
                <w:rFonts w:ascii="宋体" w:eastAsia="宋体" w:hAnsi="宋体" w:cs="宋体"/>
                <w:b w:val="0"/>
                <w:i w:val="0"/>
                <w:color w:val="000000"/>
                <w:sz w:val="20"/>
              </w:rPr>
              <w:t xml:space="preserve">160,360.60</w:t>
            </w:r>
          </w:p>
        </w:tc>
        <w:tc>
          <w:tcPr>
            <w:tcW w:w="1720" w:type="dxa"/>
            <w:tcBorders/>
            <w:vAlign w:val="center"/>
          </w:tcPr>
          <w:p>
            <w:pPr>
              <w:snapToGrid w:val="0"/>
              <w:jc w:val="right"/>
            </w:pPr>
            <w:r>
              <w:rPr>
                <w:rFonts w:ascii="宋体" w:eastAsia="宋体" w:hAnsi="宋体" w:cs="宋体"/>
                <w:b w:val="0"/>
                <w:i w:val="0"/>
                <w:color w:val="000000"/>
                <w:sz w:val="20"/>
              </w:rPr>
              <w:t xml:space="preserve">160,360.60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86,105.52</w:t>
            </w:r>
          </w:p>
        </w:tc>
        <w:tc>
          <w:tcPr>
            <w:tcW w:w="1720" w:type="dxa"/>
            <w:tcBorders/>
            <w:vAlign w:val="center"/>
          </w:tcPr>
          <w:p>
            <w:pPr>
              <w:snapToGrid w:val="0"/>
              <w:jc w:val="right"/>
            </w:pPr>
            <w:r>
              <w:rPr>
                <w:rFonts w:ascii="宋体" w:eastAsia="宋体" w:hAnsi="宋体" w:cs="宋体"/>
                <w:b w:val="0"/>
                <w:i w:val="0"/>
                <w:color w:val="000000"/>
                <w:sz w:val="20"/>
              </w:rPr>
              <w:t xml:space="preserve">86,105.52</w:t>
            </w:r>
          </w:p>
        </w:tc>
        <w:tc>
          <w:tcPr>
            <w:tcW w:w="1720" w:type="dxa"/>
            <w:tcBorders/>
            <w:vAlign w:val="center"/>
          </w:tcPr>
          <w:p>
            <w:pPr>
              <w:snapToGrid w:val="0"/>
              <w:jc w:val="right"/>
            </w:pPr>
            <w:r>
              <w:rPr>
                <w:rFonts w:ascii="宋体" w:eastAsia="宋体" w:hAnsi="宋体" w:cs="宋体"/>
                <w:b w:val="0"/>
                <w:i w:val="0"/>
                <w:color w:val="000000"/>
                <w:sz w:val="20"/>
              </w:rPr>
              <w:t xml:space="preserve">86,105.52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146,550.21</w:t>
            </w:r>
          </w:p>
        </w:tc>
        <w:tc>
          <w:tcPr>
            <w:tcW w:w="1720" w:type="dxa"/>
            <w:tcBorders/>
            <w:vAlign w:val="center"/>
          </w:tcPr>
          <w:p>
            <w:pPr>
              <w:snapToGrid w:val="0"/>
              <w:jc w:val="right"/>
            </w:pPr>
            <w:r>
              <w:rPr>
                <w:rFonts w:ascii="宋体" w:eastAsia="宋体" w:hAnsi="宋体" w:cs="宋体"/>
                <w:b w:val="0"/>
                <w:i w:val="0"/>
                <w:color w:val="000000"/>
                <w:sz w:val="20"/>
              </w:rPr>
              <w:t xml:space="preserve">146,550.21</w:t>
            </w:r>
          </w:p>
        </w:tc>
        <w:tc>
          <w:tcPr>
            <w:tcW w:w="1720" w:type="dxa"/>
            <w:tcBorders/>
            <w:vAlign w:val="center"/>
          </w:tcPr>
          <w:p>
            <w:pPr>
              <w:snapToGrid w:val="0"/>
              <w:jc w:val="right"/>
            </w:pPr>
            <w:r>
              <w:rPr>
                <w:rFonts w:ascii="宋体" w:eastAsia="宋体" w:hAnsi="宋体" w:cs="宋体"/>
                <w:b w:val="0"/>
                <w:i w:val="0"/>
                <w:color w:val="000000"/>
                <w:sz w:val="20"/>
              </w:rPr>
              <w:t xml:space="preserve">146,550.21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146,550.21</w:t>
            </w:r>
          </w:p>
        </w:tc>
        <w:tc>
          <w:tcPr>
            <w:tcW w:w="1720" w:type="dxa"/>
            <w:tcBorders/>
            <w:vAlign w:val="center"/>
          </w:tcPr>
          <w:p>
            <w:pPr>
              <w:snapToGrid w:val="0"/>
              <w:jc w:val="right"/>
            </w:pPr>
            <w:r>
              <w:rPr>
                <w:rFonts w:ascii="宋体" w:eastAsia="宋体" w:hAnsi="宋体" w:cs="宋体"/>
                <w:b w:val="0"/>
                <w:i w:val="0"/>
                <w:color w:val="000000"/>
                <w:sz w:val="20"/>
              </w:rPr>
              <w:t xml:space="preserve">146,550.21</w:t>
            </w:r>
          </w:p>
        </w:tc>
        <w:tc>
          <w:tcPr>
            <w:tcW w:w="1720" w:type="dxa"/>
            <w:tcBorders/>
            <w:vAlign w:val="center"/>
          </w:tcPr>
          <w:p>
            <w:pPr>
              <w:snapToGrid w:val="0"/>
              <w:jc w:val="right"/>
            </w:pPr>
            <w:r>
              <w:rPr>
                <w:rFonts w:ascii="宋体" w:eastAsia="宋体" w:hAnsi="宋体" w:cs="宋体"/>
                <w:b w:val="0"/>
                <w:i w:val="0"/>
                <w:color w:val="000000"/>
                <w:sz w:val="20"/>
              </w:rPr>
              <w:t xml:space="preserve">146,550.21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108,899.33</w:t>
            </w:r>
          </w:p>
        </w:tc>
        <w:tc>
          <w:tcPr>
            <w:tcW w:w="1720" w:type="dxa"/>
            <w:tcBorders/>
            <w:vAlign w:val="center"/>
          </w:tcPr>
          <w:p>
            <w:pPr>
              <w:snapToGrid w:val="0"/>
              <w:jc w:val="right"/>
            </w:pPr>
            <w:r>
              <w:rPr>
                <w:rFonts w:ascii="宋体" w:eastAsia="宋体" w:hAnsi="宋体" w:cs="宋体"/>
                <w:b w:val="0"/>
                <w:i w:val="0"/>
                <w:color w:val="000000"/>
                <w:sz w:val="20"/>
              </w:rPr>
              <w:t xml:space="preserve">108,899.33</w:t>
            </w:r>
          </w:p>
        </w:tc>
        <w:tc>
          <w:tcPr>
            <w:tcW w:w="1720" w:type="dxa"/>
            <w:tcBorders/>
            <w:vAlign w:val="center"/>
          </w:tcPr>
          <w:p>
            <w:pPr>
              <w:snapToGrid w:val="0"/>
              <w:jc w:val="right"/>
            </w:pPr>
            <w:r>
              <w:rPr>
                <w:rFonts w:ascii="宋体" w:eastAsia="宋体" w:hAnsi="宋体" w:cs="宋体"/>
                <w:b w:val="0"/>
                <w:i w:val="0"/>
                <w:color w:val="000000"/>
                <w:sz w:val="20"/>
              </w:rPr>
              <w:t xml:space="preserve">108,899.33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37,650.88</w:t>
            </w:r>
          </w:p>
        </w:tc>
        <w:tc>
          <w:tcPr>
            <w:tcW w:w="1720" w:type="dxa"/>
            <w:tcBorders/>
            <w:vAlign w:val="center"/>
          </w:tcPr>
          <w:p>
            <w:pPr>
              <w:snapToGrid w:val="0"/>
              <w:jc w:val="right"/>
            </w:pPr>
            <w:r>
              <w:rPr>
                <w:rFonts w:ascii="宋体" w:eastAsia="宋体" w:hAnsi="宋体" w:cs="宋体"/>
                <w:b w:val="0"/>
                <w:i w:val="0"/>
                <w:color w:val="000000"/>
                <w:sz w:val="20"/>
              </w:rPr>
              <w:t xml:space="preserve">37,650.88</w:t>
            </w:r>
          </w:p>
        </w:tc>
        <w:tc>
          <w:tcPr>
            <w:tcW w:w="1720" w:type="dxa"/>
            <w:tcBorders/>
            <w:vAlign w:val="center"/>
          </w:tcPr>
          <w:p>
            <w:pPr>
              <w:snapToGrid w:val="0"/>
              <w:jc w:val="right"/>
            </w:pPr>
            <w:r>
              <w:rPr>
                <w:rFonts w:ascii="宋体" w:eastAsia="宋体" w:hAnsi="宋体" w:cs="宋体"/>
                <w:b w:val="0"/>
                <w:i w:val="0"/>
                <w:color w:val="000000"/>
                <w:sz w:val="20"/>
              </w:rPr>
              <w:t xml:space="preserve">37,650.88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1,907,038.42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186,200.00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324,141.00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5,526.60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445,732.80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209,130.33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156.93</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103,676.68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160,360.60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86,105.52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108,899.33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37,650.88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14,434.61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1,509.50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396,987.00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19,919.67</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5,882.80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5,882.80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63,215.05</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61,050.00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19,141.92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1,912,921.22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186,200.00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天津市重大项目投资事务中心2024年度政府性基金预算财政拨款收入支出决算表为空表。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天津市重大项目投资事务中心2024年国有资本经营预算财政拨款收入支出决算表为空表。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天津市重大项目投资事务中心2024年财政拨款“三公”经费支出决算表为空表。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单位：天津市重大项目投资事务中心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天津市重大项目投资事务中心2024年项目支出决算表为空表。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天津市重大项目投资事务中心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2,117,481.25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增加135,749.06元，增长6.850%</w:t>
      </w:r>
      <w:r>
        <w:rPr>
          <w:rFonts w:eastAsia="仿宋_GB2312" w:hint="eastAsia"/>
          <w:sz w:val="30"/>
          <w:szCs w:val="30"/>
        </w:rPr>
        <w:t xml:space="preserve">，主要原因是</w:t>
      </w:r>
      <w:r>
        <w:rPr>
          <w:rFonts w:eastAsia="仿宋_GB2312" w:hint="eastAsia"/>
          <w:sz w:val="30"/>
          <w:szCs w:val="30"/>
        </w:rPr>
        <w:t xml:space="preserve">人员增加，人员、公用经费收入、支出增加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一般公共预算财政拨款收入2,050,216.68元、其他收入52.72元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一般公共服务支出1,706,104.89元、社会保障和就业支出246,466.12元、卫生健康支出146,550.21元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天津市重大项目投资事务中心</w:t>
      </w:r>
      <w:r>
        <w:rPr>
          <w:rFonts w:eastAsia="仿宋_GB2312" w:hint="eastAsia"/>
          <w:sz w:val="30"/>
          <w:szCs w:val="30"/>
        </w:rPr>
        <w:t xml:space="preserve">2024年度本年收入合计</w:t>
      </w:r>
      <w:r>
        <w:rPr>
          <w:rFonts w:eastAsia="仿宋_GB2312" w:hint="eastAsia"/>
          <w:sz w:val="30"/>
          <w:szCs w:val="30"/>
        </w:rPr>
        <w:t xml:space="preserve">2,050,269.40</w:t>
      </w:r>
      <w:r>
        <w:rPr>
          <w:rFonts w:eastAsia="仿宋_GB2312" w:hint="eastAsia"/>
          <w:sz w:val="30"/>
          <w:szCs w:val="30"/>
        </w:rPr>
        <w:t xml:space="preserve">元，与2023年度相比</w:t>
      </w:r>
      <w:r>
        <w:rPr>
          <w:rFonts w:eastAsia="仿宋_GB2312" w:hint="eastAsia"/>
          <w:sz w:val="30"/>
          <w:szCs w:val="30"/>
        </w:rPr>
        <w:t xml:space="preserve">增加74,723.31元，</w:t>
      </w:r>
      <w:r>
        <w:rPr>
          <w:rFonts w:eastAsia="仿宋_GB2312" w:hint="eastAsia"/>
          <w:sz w:val="30"/>
          <w:szCs w:val="30"/>
        </w:rPr>
        <w:t xml:space="preserve">主要原因是</w:t>
      </w:r>
      <w:r>
        <w:rPr>
          <w:rFonts w:eastAsia="仿宋_GB2312" w:hint="eastAsia"/>
          <w:sz w:val="30"/>
          <w:szCs w:val="30"/>
        </w:rPr>
        <w:t xml:space="preserve">人员增加，人员、公用经费收入增加</w:t>
      </w:r>
      <w:r>
        <w:rPr>
          <w:rFonts w:eastAsia="仿宋_GB2312" w:hint="eastAsia"/>
          <w:sz w:val="30"/>
          <w:szCs w:val="30"/>
        </w:rPr>
        <w:t xml:space="preserve">。其中：</w:t>
      </w:r>
      <w:r>
        <w:rPr>
          <w:rFonts w:eastAsia="仿宋_GB2312" w:hint="eastAsia"/>
          <w:sz w:val="30"/>
          <w:szCs w:val="30"/>
        </w:rPr>
        <w:t xml:space="preserve">一般公共预算财政拨款收入2,050,216.68元，占99.990%；其他收入52.72元，占0.010%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天津市重大项目投资事务中心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2,099,121.22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增加189,715.54元，</w:t>
      </w:r>
      <w:r>
        <w:rPr>
          <w:rFonts w:eastAsia="仿宋_GB2312" w:hint="eastAsia"/>
          <w:sz w:val="30"/>
          <w:szCs w:val="30"/>
        </w:rPr>
        <w:t xml:space="preserve">主要原因是</w:t>
      </w:r>
      <w:r>
        <w:rPr>
          <w:rFonts w:eastAsia="仿宋_GB2312" w:hint="eastAsia"/>
          <w:sz w:val="30"/>
          <w:szCs w:val="30"/>
        </w:rPr>
        <w:t xml:space="preserve">人员增加，人员、公用经费支出增加</w:t>
      </w:r>
      <w:r>
        <w:rPr>
          <w:rFonts w:eastAsia="仿宋_GB2312" w:hint="eastAsia"/>
          <w:sz w:val="30"/>
          <w:szCs w:val="30"/>
        </w:rPr>
        <w:t xml:space="preserve">。其中：</w:t>
      </w:r>
      <w:r>
        <w:rPr>
          <w:rFonts w:eastAsia="仿宋_GB2312" w:hint="eastAsia"/>
          <w:sz w:val="30"/>
          <w:szCs w:val="30"/>
        </w:rPr>
        <w:t xml:space="preserve">基本支出2,099,121.22元，占100.000%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天津市重大项目投资事务中心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2,115,838.53</w:t>
      </w:r>
      <w:r>
        <w:rPr>
          <w:rFonts w:eastAsia="仿宋_GB2312" w:hint="eastAsia"/>
          <w:sz w:val="30"/>
          <w:szCs w:val="30"/>
        </w:rPr>
        <w:t xml:space="preserve">元。与2023年度相比，财政拨款收、支总计各</w:t>
      </w:r>
      <w:r>
        <w:rPr>
          <w:rFonts w:eastAsia="仿宋_GB2312" w:hint="eastAsia"/>
          <w:sz w:val="30"/>
          <w:szCs w:val="30"/>
        </w:rPr>
        <w:t xml:space="preserve">增加135,696.34元，增长6.853%，</w:t>
      </w:r>
      <w:r>
        <w:rPr>
          <w:rFonts w:eastAsia="仿宋_GB2312" w:hint="eastAsia"/>
          <w:sz w:val="30"/>
          <w:szCs w:val="30"/>
        </w:rPr>
        <w:t xml:space="preserve">主要原因是</w:t>
      </w:r>
      <w:r>
        <w:rPr>
          <w:rFonts w:eastAsia="仿宋_GB2312" w:hint="eastAsia"/>
          <w:sz w:val="30"/>
          <w:szCs w:val="30"/>
        </w:rPr>
        <w:t xml:space="preserve">人员增加，财政拨款人员、公用经费收入、支出增加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一般公共预算财政拨款2,050,216.68元、年初财政拨款结转和结余65,621.85元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一般公共服务支出1,706,104.89元、社会保障和就业支出246,466.12元、卫生健康支出146,550.21元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天津市重大项目投资事务中心2024年度部门决算一般公共预算财政拨款支出合计2,099,121.22元，占本年支出合计的100.000%。与2023年度相比，一般公共预算财政拨款支出</w:t>
      </w:r>
      <w:r>
        <w:rPr>
          <w:rFonts w:eastAsia="仿宋_GB2312" w:hint="eastAsia"/>
          <w:sz w:val="30"/>
          <w:szCs w:val="30"/>
        </w:rPr>
        <w:t xml:space="preserve">增加189,715.54元</w:t>
      </w:r>
      <w:r>
        <w:rPr>
          <w:rFonts w:eastAsia="仿宋_GB2312" w:hint="eastAsia"/>
          <w:sz w:val="30"/>
          <w:szCs w:val="30"/>
        </w:rPr>
        <w:t xml:space="preserve">，增长9.936%</w:t>
      </w:r>
      <w:r>
        <w:rPr>
          <w:rFonts w:eastAsia="仿宋_GB2312" w:hint="eastAsia"/>
          <w:sz w:val="30"/>
          <w:szCs w:val="30"/>
        </w:rPr>
        <w:t xml:space="preserve">，主要原因是人员增加，一般公共预算财政拨款人员、公用经费支出增加。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2024年度一般公共预算财政拨款支出2,099,121.22元，主要用于以下方面：</w:t>
      </w:r>
      <w:r>
        <w:rPr>
          <w:rFonts w:eastAsia="仿宋_GB2312" w:hint="eastAsia"/>
          <w:sz w:val="30"/>
          <w:szCs w:val="30"/>
        </w:rPr>
        <w:t xml:space="preserve">一般公共服务支出（类）支出1,706,104.89元，占81.280%,社会保障和就业支出（类）支出246,466.12元，占11.740%,卫生健康支出（类）支出146,550.21元，占6.980%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2024年度一般公共预算财政拨款支出年初预算为1,908,000.00元，支出决算为2,099,121.22元</w:t>
      </w:r>
      <w:r>
        <w:rPr>
          <w:rFonts w:eastAsia="仿宋_GB2312" w:hint="eastAsia"/>
          <w:sz w:val="30"/>
          <w:szCs w:val="30"/>
        </w:rPr>
        <w:t xml:space="preserve">，完成年初预算的110.020%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1.一般公共服务支出（类）发展与改革事务（款）行政运行（项）年初预算为1,591,000.00元，支出决算为1,706,104.89元，完成年初预算的107.235%，决算数大于预算数的主要原因是：人员增加导致经费增加。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141,000.00元，支出决算为160,360.60元，完成年初预算的113.731%，决算数大于预算数的主要原因是：人员增加导致经费增加以及社保缴费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70,000.00元，支出决算为86,105.52元，完成年初预算的123.008%，决算数大于预算数的主要原因是：人员增加导致经费增加以及社保缴费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88,000.00元，支出决算为108,899.33元，完成年初预算的123.749%，决算数大于预算数的主要原因是：人员增加导致经费增加以及社保缴费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公务员医疗补助（项）年初预算为18,000.00元，支出决算为37,650.88元，完成年初预算的209.172%，决算数大于预算数的主要原因是：人员增加导致经费增加以及社保缴费基数调整。</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天津市重大项目投资事务中心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2,099,121.22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增加189,715.54元，</w:t>
      </w:r>
      <w:r>
        <w:rPr>
          <w:rFonts w:eastAsia="仿宋_GB2312" w:hint="eastAsia"/>
          <w:sz w:val="30"/>
          <w:szCs w:val="30"/>
        </w:rPr>
        <w:t xml:space="preserve">主要原因是</w:t>
      </w:r>
      <w:r>
        <w:rPr>
          <w:rFonts w:eastAsia="仿宋_GB2312" w:hint="eastAsia"/>
          <w:sz w:val="30"/>
          <w:szCs w:val="30"/>
        </w:rPr>
        <w:t xml:space="preserve">人员增加，一般公共预算财政拨款基本支出人员、公用经费支出增加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人员经费1,912,921.22元，主要包括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公用经费186,200.00元，主要包括</w:t>
      </w:r>
      <w:r>
        <w:rPr>
          <w:rFonts w:eastAsia="仿宋_GB2312" w:hint="eastAsia"/>
          <w:sz w:val="30"/>
          <w:szCs w:val="30"/>
        </w:rPr>
        <w:t xml:space="preserve">办公费、手续费、差旅费、劳务费、委托业务费、工会经费、福利费、其他交通费用、其他商品和服务支出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天津市重大项目投资事务中心2024年度无政府性基金预算财政拨款收入、支出和结转结余。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天津市重大项目投资事务中心2024年度无国有资本经营预算财政拨款收入、支出和结转结余。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决算数与预算数持平的主要原因是本年度未用财政拨款经费列支因公出国（境）费、公务用车购置费及公务用车运行维护费、公务接待费；</w:t>
      </w:r>
      <w:r>
        <w:rPr>
          <w:rFonts w:eastAsia="仿宋_GB2312" w:hint="eastAsia"/>
          <w:sz w:val="30"/>
          <w:szCs w:val="30"/>
        </w:rPr>
        <w:t xml:space="preserve">决算数较上年持平的主要原因是本年度未用财政拨款经费列支因公出国（境）费、公务用车购置费及公务用车运行维护费、公务接待费。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决算数与预算数持平的主要原因是本年度未用财政拨款经费列支公务用车购置费及公务用车运行维护费；</w:t>
      </w:r>
      <w:r>
        <w:rPr>
          <w:rFonts w:eastAsia="仿宋_GB2312" w:hint="eastAsia"/>
          <w:sz w:val="30"/>
          <w:szCs w:val="30"/>
        </w:rPr>
        <w:t xml:space="preserve">决算数较上年持平的主要原因是本年度未用财政拨款经费列支公务用车购置费及公务用车运行维护费。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重大项目投资事务中心2024年度机关运行经费年初预算178,000.00元，决算数186,200.00元，与年初预算相比</w:t>
      </w:r>
      <w:r>
        <w:rPr>
          <w:rFonts w:eastAsia="仿宋_GB2312" w:hint="eastAsia"/>
          <w:sz w:val="30"/>
          <w:szCs w:val="30"/>
        </w:rPr>
        <w:t xml:space="preserve">增加8,200.00元，</w:t>
      </w:r>
      <w:r>
        <w:rPr>
          <w:rFonts w:eastAsia="仿宋_GB2312" w:hint="eastAsia"/>
          <w:sz w:val="30"/>
          <w:szCs w:val="30"/>
        </w:rPr>
        <w:t xml:space="preserve">完成年初预算的104.610%；</w:t>
      </w:r>
      <w:r>
        <w:rPr>
          <w:rFonts w:eastAsia="仿宋_GB2312" w:hint="eastAsia"/>
          <w:sz w:val="30"/>
          <w:szCs w:val="30"/>
        </w:rPr>
        <w:t xml:space="preserve">比2023年增加17,200.00元</w:t>
      </w:r>
      <w:r>
        <w:rPr>
          <w:rFonts w:eastAsia="仿宋_GB2312" w:hint="eastAsia"/>
          <w:sz w:val="30"/>
          <w:szCs w:val="30"/>
        </w:rPr>
        <w:t xml:space="preserve">，增长10.178%</w:t>
      </w:r>
      <w:r>
        <w:rPr>
          <w:rFonts w:eastAsia="仿宋_GB2312" w:hint="eastAsia"/>
          <w:sz w:val="30"/>
          <w:szCs w:val="30"/>
        </w:rPr>
        <w:t xml:space="preserve">，主要原因是：人员增加，公用经费支出增加。</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天津市重大项目投资事务中心2024年度无政府采购支出。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天津市重大项目投资事务中心2024年度无国有资产占有使用情况。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本部门2024年度没有项目支出，无需开展绩效自评。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天津市重大项目投资事务中心不属于乡、镇、街级单位，不涉及公开2024年度教育、医疗卫生、社会保障和就业、住房保障、涉农补贴等民生支出情况。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